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beforeLines="150"/>
        <w:rPr>
          <w:rFonts w:ascii="Times New Roman" w:hAnsi="宋体" w:eastAsia="仿宋_GB2312" w:cs="宋体"/>
          <w:color w:val="000080"/>
          <w:kern w:val="0"/>
          <w:sz w:val="28"/>
          <w:szCs w:val="28"/>
        </w:rPr>
      </w:pPr>
    </w:p>
    <w:p>
      <w:pPr>
        <w:spacing w:before="360" w:beforeLines="150"/>
        <w:rPr>
          <w:rFonts w:ascii="Times New Roman" w:hAnsi="宋体" w:eastAsia="仿宋_GB2312" w:cs="宋体"/>
          <w:color w:val="000080"/>
          <w:kern w:val="0"/>
          <w:sz w:val="28"/>
          <w:szCs w:val="28"/>
        </w:rPr>
      </w:pPr>
    </w:p>
    <w:p>
      <w:pPr>
        <w:spacing w:before="360" w:beforeLines="150"/>
        <w:rPr>
          <w:rFonts w:ascii="Times New Roman" w:hAnsi="宋体" w:eastAsia="仿宋_GB2312" w:cs="宋体"/>
          <w:color w:val="000080"/>
          <w:kern w:val="0"/>
          <w:sz w:val="28"/>
          <w:szCs w:val="28"/>
        </w:rPr>
      </w:pPr>
    </w:p>
    <w:p>
      <w:pPr>
        <w:spacing w:before="360" w:beforeLines="150"/>
        <w:jc w:val="center"/>
        <w:rPr>
          <w:rFonts w:ascii="方正魏碑简体" w:eastAsia="方正魏碑简体"/>
          <w:color w:val="FF0000"/>
          <w:sz w:val="96"/>
          <w:szCs w:val="96"/>
        </w:rPr>
      </w:pPr>
      <w:r>
        <w:rPr>
          <w:rFonts w:hint="eastAsia" w:ascii="方正魏碑简体" w:eastAsia="方正魏碑简体"/>
          <w:color w:val="FF0000"/>
          <w:sz w:val="96"/>
          <w:szCs w:val="96"/>
        </w:rPr>
        <w:t>中</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国</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工</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业</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大</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奖</w:t>
      </w:r>
    </w:p>
    <w:p>
      <w:pPr>
        <w:widowControl/>
        <w:snapToGrid w:val="0"/>
        <w:spacing w:after="156"/>
        <w:jc w:val="center"/>
        <w:rPr>
          <w:rFonts w:ascii="黑体" w:hAnsi="宋体" w:eastAsia="黑体" w:cs="宋体"/>
          <w:b/>
          <w:color w:val="000080"/>
          <w:kern w:val="0"/>
          <w:sz w:val="72"/>
          <w:szCs w:val="72"/>
          <w:highlight w:val="none"/>
        </w:rPr>
      </w:pPr>
      <w:r>
        <w:rPr>
          <w:rFonts w:hint="eastAsia" w:ascii="方正魏碑简体" w:eastAsia="方正魏碑简体"/>
          <w:color w:val="FF0000"/>
          <w:sz w:val="92"/>
          <w:szCs w:val="92"/>
        </w:rPr>
        <w:t>项</w:t>
      </w:r>
      <w:r>
        <w:rPr>
          <w:rFonts w:hint="eastAsia" w:ascii="方正魏碑简体" w:eastAsia="方正魏碑简体"/>
          <w:color w:val="FF0000"/>
          <w:sz w:val="92"/>
          <w:szCs w:val="92"/>
          <w:highlight w:val="none"/>
        </w:rPr>
        <w:t>目申报书</w:t>
      </w:r>
    </w:p>
    <w:p>
      <w:pPr>
        <w:widowControl/>
        <w:snapToGrid w:val="0"/>
        <w:spacing w:after="156"/>
        <w:jc w:val="center"/>
        <w:rPr>
          <w:rFonts w:ascii="Times New Roman" w:hAnsi="宋体" w:eastAsia="仿宋_GB2312" w:cs="宋体"/>
          <w:b/>
          <w:color w:val="000080"/>
          <w:kern w:val="0"/>
          <w:sz w:val="32"/>
          <w:szCs w:val="24"/>
          <w:highlight w:val="none"/>
        </w:rPr>
      </w:pPr>
      <w:r>
        <w:rPr>
          <w:rFonts w:hint="eastAsia" w:ascii="Times New Roman" w:hAnsi="宋体" w:eastAsia="仿宋_GB2312" w:cs="宋体"/>
          <w:b/>
          <w:color w:val="000080"/>
          <w:kern w:val="0"/>
          <w:sz w:val="32"/>
          <w:szCs w:val="24"/>
          <w:highlight w:val="none"/>
        </w:rPr>
        <w:t>202</w:t>
      </w:r>
      <w:r>
        <w:rPr>
          <w:rFonts w:ascii="Times New Roman" w:hAnsi="宋体" w:eastAsia="仿宋_GB2312" w:cs="宋体"/>
          <w:b/>
          <w:color w:val="000080"/>
          <w:kern w:val="0"/>
          <w:sz w:val="32"/>
          <w:szCs w:val="24"/>
          <w:highlight w:val="none"/>
        </w:rPr>
        <w:t>3</w:t>
      </w:r>
      <w:r>
        <w:rPr>
          <w:rFonts w:hint="eastAsia" w:ascii="Times New Roman" w:hAnsi="宋体" w:eastAsia="仿宋_GB2312" w:cs="宋体"/>
          <w:b/>
          <w:color w:val="000080"/>
          <w:kern w:val="0"/>
          <w:sz w:val="32"/>
          <w:szCs w:val="24"/>
          <w:highlight w:val="none"/>
        </w:rPr>
        <w:t>版</w:t>
      </w: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before="156" w:after="156"/>
        <w:jc w:val="left"/>
        <w:rPr>
          <w:rFonts w:ascii="宋体" w:cs="宋体"/>
          <w:kern w:val="0"/>
          <w:sz w:val="24"/>
          <w:szCs w:val="24"/>
          <w:highlight w:val="none"/>
        </w:rPr>
      </w:pPr>
      <w:r>
        <w:rPr>
          <w:rFonts w:hint="eastAsia" w:ascii="Times New Roman" w:hAnsi="宋体" w:eastAsia="仿宋_GB2312" w:cs="宋体"/>
          <w:b/>
          <w:color w:val="000080"/>
          <w:kern w:val="0"/>
          <w:sz w:val="32"/>
          <w:szCs w:val="24"/>
          <w:highlight w:val="none"/>
        </w:rPr>
        <w:t>项目名称：</w:t>
      </w:r>
    </w:p>
    <w:p>
      <w:pPr>
        <w:widowControl/>
        <w:snapToGrid w:val="0"/>
        <w:spacing w:before="156" w:after="156"/>
        <w:jc w:val="left"/>
        <w:rPr>
          <w:rFonts w:ascii="宋体" w:cs="宋体"/>
          <w:kern w:val="0"/>
          <w:sz w:val="24"/>
          <w:szCs w:val="24"/>
          <w:highlight w:val="none"/>
        </w:rPr>
      </w:pPr>
      <w:r>
        <w:rPr>
          <w:rFonts w:hint="eastAsia" w:ascii="Times New Roman" w:hAnsi="宋体" w:eastAsia="仿宋_GB2312" w:cs="宋体"/>
          <w:b/>
          <w:color w:val="000080"/>
          <w:kern w:val="0"/>
          <w:sz w:val="32"/>
          <w:szCs w:val="24"/>
          <w:highlight w:val="none"/>
        </w:rPr>
        <w:t>申报单位名称：（盖章）</w:t>
      </w:r>
    </w:p>
    <w:p>
      <w:pPr>
        <w:widowControl/>
        <w:snapToGrid w:val="0"/>
        <w:spacing w:before="156" w:after="156"/>
        <w:jc w:val="left"/>
        <w:rPr>
          <w:rFonts w:ascii="宋体" w:cs="宋体"/>
          <w:kern w:val="0"/>
          <w:sz w:val="24"/>
          <w:szCs w:val="24"/>
          <w:highlight w:val="none"/>
        </w:rPr>
      </w:pPr>
      <w:r>
        <w:rPr>
          <w:rFonts w:hint="eastAsia" w:ascii="Times New Roman" w:hAnsi="宋体" w:eastAsia="仿宋_GB2312" w:cs="宋体"/>
          <w:b/>
          <w:color w:val="000080"/>
          <w:kern w:val="0"/>
          <w:sz w:val="32"/>
          <w:szCs w:val="24"/>
          <w:highlight w:val="none"/>
        </w:rPr>
        <w:t>填表日期：</w:t>
      </w:r>
      <w:r>
        <w:rPr>
          <w:rFonts w:ascii="Times New Roman" w:hAnsi="Times New Roman" w:eastAsia="仿宋_GB2312"/>
          <w:b/>
          <w:color w:val="000080"/>
          <w:kern w:val="0"/>
          <w:sz w:val="32"/>
          <w:szCs w:val="24"/>
          <w:highlight w:val="none"/>
        </w:rPr>
        <w:t xml:space="preserve">           </w:t>
      </w:r>
      <w:r>
        <w:rPr>
          <w:rFonts w:hint="eastAsia" w:ascii="Times New Roman" w:hAnsi="宋体" w:eastAsia="仿宋_GB2312" w:cs="宋体"/>
          <w:b/>
          <w:color w:val="000080"/>
          <w:kern w:val="0"/>
          <w:sz w:val="32"/>
          <w:szCs w:val="24"/>
          <w:highlight w:val="none"/>
        </w:rPr>
        <w:t>年</w:t>
      </w:r>
      <w:r>
        <w:rPr>
          <w:rFonts w:ascii="Times New Roman" w:hAnsi="Times New Roman" w:eastAsia="仿宋_GB2312"/>
          <w:b/>
          <w:color w:val="000080"/>
          <w:kern w:val="0"/>
          <w:sz w:val="32"/>
          <w:szCs w:val="24"/>
          <w:highlight w:val="none"/>
        </w:rPr>
        <w:t xml:space="preserve">     </w:t>
      </w:r>
      <w:r>
        <w:rPr>
          <w:rFonts w:hint="eastAsia" w:ascii="Times New Roman" w:hAnsi="宋体" w:eastAsia="仿宋_GB2312" w:cs="宋体"/>
          <w:b/>
          <w:color w:val="000080"/>
          <w:kern w:val="0"/>
          <w:sz w:val="32"/>
          <w:szCs w:val="24"/>
          <w:highlight w:val="none"/>
        </w:rPr>
        <w:t>月</w:t>
      </w:r>
      <w:r>
        <w:rPr>
          <w:rFonts w:ascii="Times New Roman" w:hAnsi="Times New Roman" w:eastAsia="仿宋_GB2312"/>
          <w:b/>
          <w:color w:val="000080"/>
          <w:kern w:val="0"/>
          <w:sz w:val="32"/>
          <w:szCs w:val="24"/>
          <w:highlight w:val="none"/>
        </w:rPr>
        <w:t xml:space="preserve">     </w:t>
      </w:r>
      <w:r>
        <w:rPr>
          <w:rFonts w:hint="eastAsia" w:ascii="Times New Roman" w:hAnsi="宋体" w:eastAsia="仿宋_GB2312" w:cs="宋体"/>
          <w:b/>
          <w:color w:val="000080"/>
          <w:kern w:val="0"/>
          <w:sz w:val="32"/>
          <w:szCs w:val="24"/>
          <w:highlight w:val="none"/>
        </w:rPr>
        <w:t>日</w:t>
      </w:r>
    </w:p>
    <w:p>
      <w:pPr>
        <w:widowControl/>
        <w:adjustRightInd w:val="0"/>
        <w:snapToGrid w:val="0"/>
        <w:jc w:val="left"/>
        <w:rPr>
          <w:rFonts w:ascii="宋体" w:cs="宋体"/>
          <w:kern w:val="0"/>
          <w:sz w:val="24"/>
          <w:szCs w:val="24"/>
          <w:highlight w:val="none"/>
        </w:rPr>
      </w:pPr>
      <w:r>
        <w:rPr>
          <w:rFonts w:hint="eastAsia" w:ascii="方正仿宋_GBK" w:hAnsi="宋体" w:eastAsia="仿宋_GB2312" w:cs="宋体"/>
          <w:b/>
          <w:color w:val="000080"/>
          <w:kern w:val="0"/>
          <w:sz w:val="32"/>
          <w:szCs w:val="24"/>
          <w:highlight w:val="none"/>
        </w:rPr>
        <w:t>统一社会信用代码：</w:t>
      </w:r>
      <w:r>
        <w:rPr>
          <w:rFonts w:hint="eastAsia" w:ascii="方正仿宋_GBK" w:hAnsi="宋体" w:eastAsia="仿宋_GB2312" w:cs="宋体"/>
          <w:b/>
          <w:bCs/>
          <w:color w:val="000080"/>
          <w:kern w:val="0"/>
          <w:sz w:val="32"/>
          <w:szCs w:val="24"/>
          <w:highlight w:val="none"/>
        </w:rPr>
        <w:t>□□□□□□□□□□□□□□□□□□</w:t>
      </w:r>
    </w:p>
    <w:p>
      <w:pPr>
        <w:widowControl/>
        <w:snapToGrid w:val="0"/>
        <w:jc w:val="left"/>
        <w:rPr>
          <w:rFonts w:ascii="宋体" w:cs="宋体"/>
          <w:kern w:val="0"/>
          <w:sz w:val="24"/>
          <w:szCs w:val="24"/>
          <w:highlight w:val="none"/>
        </w:rPr>
      </w:pPr>
      <w:r>
        <w:rPr>
          <w:rFonts w:ascii="Times New Roman" w:hAnsi="Times New Roman"/>
          <w:b/>
          <w:bCs/>
          <w:color w:val="000080"/>
          <w:kern w:val="0"/>
          <w:sz w:val="28"/>
          <w:szCs w:val="24"/>
          <w:highlight w:val="none"/>
        </w:rPr>
        <w:t> </w:t>
      </w:r>
    </w:p>
    <w:p>
      <w:pPr>
        <w:widowControl/>
        <w:snapToGrid w:val="0"/>
        <w:spacing w:before="120" w:beforeLines="50"/>
        <w:jc w:val="center"/>
        <w:rPr>
          <w:rFonts w:ascii="宋体" w:cs="宋体"/>
          <w:kern w:val="0"/>
          <w:sz w:val="24"/>
          <w:szCs w:val="24"/>
          <w:highlight w:val="none"/>
        </w:rPr>
      </w:pPr>
      <w:r>
        <w:rPr>
          <w:rFonts w:hint="eastAsia" w:ascii="Times New Roman" w:hAnsi="宋体" w:eastAsia="黑体" w:cs="宋体"/>
          <w:bCs/>
          <w:color w:val="000080"/>
          <w:kern w:val="0"/>
          <w:sz w:val="32"/>
          <w:szCs w:val="24"/>
          <w:highlight w:val="none"/>
        </w:rPr>
        <w:t>中国工业大奖工作委员会</w:t>
      </w:r>
    </w:p>
    <w:p>
      <w:pPr>
        <w:widowControl/>
        <w:snapToGrid w:val="0"/>
        <w:rPr>
          <w:rFonts w:ascii="Times New Roman" w:hAnsi="Times New Roman"/>
          <w:color w:val="000000"/>
          <w:kern w:val="0"/>
          <w:sz w:val="24"/>
          <w:szCs w:val="24"/>
          <w:highlight w:val="none"/>
        </w:rPr>
      </w:pPr>
    </w:p>
    <w:p>
      <w:pPr>
        <w:widowControl/>
        <w:snapToGrid w:val="0"/>
        <w:jc w:val="center"/>
        <w:rPr>
          <w:rFonts w:ascii="宋体" w:cs="宋体"/>
          <w:kern w:val="0"/>
          <w:sz w:val="24"/>
          <w:szCs w:val="24"/>
          <w:highlight w:val="none"/>
        </w:rPr>
      </w:pPr>
      <w:r>
        <w:rPr>
          <w:rFonts w:ascii="Times New Roman" w:hAnsi="Times New Roman"/>
          <w:color w:val="000000"/>
          <w:kern w:val="0"/>
          <w:sz w:val="16"/>
          <w:szCs w:val="24"/>
          <w:highlight w:val="none"/>
        </w:rPr>
        <w:t>©</w:t>
      </w:r>
      <w:r>
        <w:rPr>
          <w:rFonts w:hint="eastAsia" w:ascii="Times New Roman" w:hAnsi="Times New Roman" w:cs="宋体"/>
          <w:color w:val="000000"/>
          <w:kern w:val="0"/>
          <w:sz w:val="16"/>
          <w:szCs w:val="24"/>
          <w:highlight w:val="none"/>
        </w:rPr>
        <w:t>中国工业大奖工作委员会版</w:t>
      </w:r>
      <w:r>
        <w:rPr>
          <w:rFonts w:hint="eastAsia" w:ascii="Times New Roman" w:hAnsi="宋体" w:cs="宋体"/>
          <w:color w:val="000000"/>
          <w:kern w:val="0"/>
          <w:sz w:val="16"/>
          <w:szCs w:val="24"/>
          <w:highlight w:val="none"/>
        </w:rPr>
        <w:t>权</w:t>
      </w:r>
      <w:r>
        <w:rPr>
          <w:rFonts w:hint="eastAsia" w:ascii="Times New Roman" w:hAnsi="Times New Roman" w:cs="宋体"/>
          <w:color w:val="000000"/>
          <w:kern w:val="0"/>
          <w:sz w:val="16"/>
          <w:szCs w:val="24"/>
          <w:highlight w:val="none"/>
        </w:rPr>
        <w:t>所有</w:t>
      </w:r>
    </w:p>
    <w:p>
      <w:pPr>
        <w:widowControl/>
        <w:spacing w:before="100" w:beforeAutospacing="1" w:after="100" w:afterAutospacing="1"/>
        <w:jc w:val="left"/>
        <w:rPr>
          <w:rFonts w:ascii="Times New Roman" w:hAnsi="Times New Roman"/>
          <w:color w:val="000000"/>
          <w:sz w:val="14"/>
          <w:szCs w:val="24"/>
          <w:highlight w:val="none"/>
        </w:rPr>
        <w:sectPr>
          <w:footerReference r:id="rId3" w:type="even"/>
          <w:pgSz w:w="12240" w:h="15840"/>
          <w:pgMar w:top="1440" w:right="1800" w:bottom="1440" w:left="1800" w:header="720" w:footer="720" w:gutter="0"/>
          <w:cols w:space="720" w:num="1"/>
          <w:titlePg/>
        </w:sectPr>
      </w:pPr>
    </w:p>
    <w:p>
      <w:pPr>
        <w:widowControl/>
        <w:snapToGrid w:val="0"/>
        <w:spacing w:line="360" w:lineRule="exact"/>
        <w:jc w:val="center"/>
        <w:rPr>
          <w:rFonts w:ascii="宋体" w:cs="宋体"/>
          <w:kern w:val="0"/>
          <w:sz w:val="24"/>
          <w:szCs w:val="24"/>
          <w:highlight w:val="none"/>
        </w:rPr>
      </w:pPr>
      <w:r>
        <w:rPr>
          <w:rFonts w:ascii="黑体" w:hAnsi="宋体" w:eastAsia="黑体" w:cs="宋体"/>
          <w:kern w:val="0"/>
          <w:sz w:val="18"/>
          <w:szCs w:val="18"/>
          <w:highlight w:val="none"/>
        </w:rPr>
        <w:t> </w:t>
      </w:r>
    </w:p>
    <w:p>
      <w:pPr>
        <w:widowControl/>
        <w:snapToGrid w:val="0"/>
        <w:spacing w:after="360" w:line="520" w:lineRule="exact"/>
        <w:jc w:val="center"/>
        <w:rPr>
          <w:rFonts w:ascii="宋体" w:cs="宋体"/>
          <w:kern w:val="0"/>
          <w:sz w:val="24"/>
          <w:szCs w:val="24"/>
          <w:highlight w:val="none"/>
        </w:rPr>
      </w:pPr>
      <w:r>
        <w:rPr>
          <w:rFonts w:hint="eastAsia" w:ascii="黑体" w:hAnsi="宋体" w:eastAsia="黑体" w:cs="宋体"/>
          <w:kern w:val="0"/>
          <w:sz w:val="36"/>
          <w:szCs w:val="36"/>
          <w:highlight w:val="none"/>
        </w:rPr>
        <w:t>填</w:t>
      </w:r>
      <w:r>
        <w:rPr>
          <w:rFonts w:ascii="黑体" w:hAnsi="宋体" w:eastAsia="黑体" w:cs="宋体"/>
          <w:kern w:val="0"/>
          <w:sz w:val="36"/>
          <w:szCs w:val="36"/>
          <w:highlight w:val="none"/>
        </w:rPr>
        <w:t xml:space="preserve"> </w:t>
      </w:r>
      <w:r>
        <w:rPr>
          <w:rFonts w:hint="eastAsia" w:ascii="黑体" w:hAnsi="宋体" w:eastAsia="黑体" w:cs="宋体"/>
          <w:kern w:val="0"/>
          <w:sz w:val="36"/>
          <w:szCs w:val="36"/>
          <w:highlight w:val="none"/>
        </w:rPr>
        <w:t>表</w:t>
      </w:r>
      <w:r>
        <w:rPr>
          <w:rFonts w:ascii="黑体" w:hAnsi="宋体" w:eastAsia="黑体" w:cs="宋体"/>
          <w:kern w:val="0"/>
          <w:sz w:val="36"/>
          <w:szCs w:val="36"/>
          <w:highlight w:val="none"/>
        </w:rPr>
        <w:t xml:space="preserve"> </w:t>
      </w:r>
      <w:r>
        <w:rPr>
          <w:rFonts w:hint="eastAsia" w:ascii="黑体" w:hAnsi="宋体" w:eastAsia="黑体" w:cs="宋体"/>
          <w:kern w:val="0"/>
          <w:sz w:val="36"/>
          <w:szCs w:val="36"/>
          <w:highlight w:val="none"/>
        </w:rPr>
        <w:t>说</w:t>
      </w:r>
      <w:r>
        <w:rPr>
          <w:rFonts w:ascii="黑体" w:hAnsi="宋体" w:eastAsia="黑体" w:cs="宋体"/>
          <w:kern w:val="0"/>
          <w:sz w:val="36"/>
          <w:szCs w:val="36"/>
          <w:highlight w:val="none"/>
        </w:rPr>
        <w:t xml:space="preserve"> </w:t>
      </w:r>
      <w:r>
        <w:rPr>
          <w:rFonts w:hint="eastAsia" w:ascii="黑体" w:hAnsi="宋体" w:eastAsia="黑体" w:cs="宋体"/>
          <w:kern w:val="0"/>
          <w:sz w:val="36"/>
          <w:szCs w:val="36"/>
          <w:highlight w:val="none"/>
        </w:rPr>
        <w:t>明</w:t>
      </w:r>
    </w:p>
    <w:p>
      <w:pPr>
        <w:widowControl/>
        <w:snapToGrid w:val="0"/>
        <w:spacing w:before="156" w:after="156" w:line="520" w:lineRule="exact"/>
        <w:ind w:firstLine="629"/>
        <w:rPr>
          <w:rFonts w:ascii="宋体" w:cs="宋体"/>
          <w:kern w:val="0"/>
          <w:sz w:val="24"/>
          <w:szCs w:val="24"/>
          <w:highlight w:val="none"/>
        </w:rPr>
      </w:pPr>
      <w:r>
        <w:rPr>
          <w:rFonts w:ascii="仿宋_GB2312" w:hAnsi="宋体" w:eastAsia="仿宋_GB2312" w:cs="宋体"/>
          <w:kern w:val="0"/>
          <w:sz w:val="28"/>
          <w:szCs w:val="28"/>
          <w:highlight w:val="none"/>
        </w:rPr>
        <w:t>1</w:t>
      </w:r>
      <w:r>
        <w:rPr>
          <w:rFonts w:hint="eastAsia" w:ascii="仿宋_GB2312" w:hAnsi="宋体" w:eastAsia="仿宋_GB2312" w:cs="宋体"/>
          <w:kern w:val="0"/>
          <w:sz w:val="28"/>
          <w:szCs w:val="28"/>
          <w:highlight w:val="none"/>
        </w:rPr>
        <w:t>、本申报书为项目承担单位申报中国工业大奖的主要文字依据，各项内容务必认真填写。文字叙述应完整、清晰、简洁，数据真实、准确、可靠，外来语要用原文和中文表达。填写时各栏目不得空缺，无此内容时填“无”。</w:t>
      </w:r>
    </w:p>
    <w:p>
      <w:pPr>
        <w:widowControl/>
        <w:snapToGrid w:val="0"/>
        <w:spacing w:before="156" w:after="156" w:line="520" w:lineRule="exact"/>
        <w:ind w:firstLine="629"/>
        <w:rPr>
          <w:rFonts w:ascii="宋体" w:cs="宋体"/>
          <w:kern w:val="0"/>
          <w:sz w:val="24"/>
          <w:szCs w:val="24"/>
          <w:highlight w:val="none"/>
        </w:rPr>
      </w:pPr>
      <w:r>
        <w:rPr>
          <w:rFonts w:ascii="仿宋_GB2312" w:hAnsi="宋体" w:eastAsia="仿宋_GB2312" w:cs="宋体"/>
          <w:kern w:val="0"/>
          <w:sz w:val="28"/>
          <w:szCs w:val="28"/>
          <w:highlight w:val="none"/>
        </w:rPr>
        <w:t>2</w:t>
      </w:r>
      <w:r>
        <w:rPr>
          <w:rFonts w:hint="eastAsia" w:ascii="仿宋_GB2312" w:hAnsi="宋体" w:eastAsia="仿宋_GB2312" w:cs="宋体"/>
          <w:kern w:val="0"/>
          <w:sz w:val="28"/>
          <w:szCs w:val="28"/>
          <w:highlight w:val="none"/>
        </w:rPr>
        <w:t>、表</w:t>
      </w:r>
      <w:r>
        <w:rPr>
          <w:rFonts w:ascii="仿宋_GB2312" w:hAnsi="宋体" w:eastAsia="仿宋_GB2312" w:cs="宋体"/>
          <w:kern w:val="0"/>
          <w:sz w:val="28"/>
          <w:szCs w:val="28"/>
          <w:highlight w:val="none"/>
        </w:rPr>
        <w:t>1</w:t>
      </w:r>
      <w:r>
        <w:rPr>
          <w:rFonts w:hint="eastAsia" w:ascii="仿宋_GB2312" w:hAnsi="宋体" w:eastAsia="仿宋_GB2312" w:cs="宋体"/>
          <w:kern w:val="0"/>
          <w:sz w:val="28"/>
          <w:szCs w:val="28"/>
          <w:highlight w:val="none"/>
        </w:rPr>
        <w:t>、</w:t>
      </w:r>
      <w:r>
        <w:rPr>
          <w:rFonts w:ascii="仿宋_GB2312" w:hAnsi="宋体" w:eastAsia="仿宋_GB2312" w:cs="宋体"/>
          <w:kern w:val="0"/>
          <w:sz w:val="28"/>
          <w:szCs w:val="28"/>
          <w:highlight w:val="none"/>
        </w:rPr>
        <w:t>2</w:t>
      </w:r>
      <w:r>
        <w:rPr>
          <w:rFonts w:hint="eastAsia" w:ascii="仿宋_GB2312" w:hAnsi="宋体" w:eastAsia="仿宋_GB2312" w:cs="宋体"/>
          <w:kern w:val="0"/>
          <w:sz w:val="28"/>
          <w:szCs w:val="28"/>
          <w:highlight w:val="none"/>
        </w:rPr>
        <w:t>、</w:t>
      </w:r>
      <w:r>
        <w:rPr>
          <w:rFonts w:ascii="仿宋_GB2312" w:hAnsi="宋体" w:eastAsia="仿宋_GB2312" w:cs="宋体"/>
          <w:kern w:val="0"/>
          <w:sz w:val="28"/>
          <w:szCs w:val="28"/>
          <w:highlight w:val="none"/>
        </w:rPr>
        <w:t>3</w:t>
      </w:r>
      <w:r>
        <w:rPr>
          <w:rFonts w:hint="eastAsia" w:ascii="仿宋_GB2312" w:hAnsi="宋体" w:eastAsia="仿宋_GB2312" w:cs="宋体"/>
          <w:kern w:val="0"/>
          <w:sz w:val="28"/>
          <w:szCs w:val="28"/>
          <w:highlight w:val="none"/>
        </w:rPr>
        <w:t>、</w:t>
      </w:r>
      <w:r>
        <w:rPr>
          <w:rFonts w:ascii="仿宋_GB2312" w:hAnsi="宋体" w:eastAsia="仿宋_GB2312" w:cs="宋体"/>
          <w:kern w:val="0"/>
          <w:sz w:val="28"/>
          <w:szCs w:val="28"/>
          <w:highlight w:val="none"/>
        </w:rPr>
        <w:t>4</w:t>
      </w:r>
      <w:r>
        <w:rPr>
          <w:rFonts w:hint="eastAsia" w:ascii="仿宋_GB2312" w:hAnsi="宋体" w:eastAsia="仿宋_GB2312" w:cs="宋体"/>
          <w:kern w:val="0"/>
          <w:sz w:val="28"/>
          <w:szCs w:val="28"/>
          <w:highlight w:val="none"/>
        </w:rPr>
        <w:t>由申报单位填写，除特别要求外，</w:t>
      </w:r>
      <w:r>
        <w:rPr>
          <w:rFonts w:hint="eastAsia" w:ascii="仿宋_GB2312" w:hAnsi="宋体" w:eastAsia="仿宋_GB2312" w:cs="宋体"/>
          <w:color w:val="000000"/>
          <w:kern w:val="0"/>
          <w:sz w:val="28"/>
          <w:szCs w:val="28"/>
          <w:highlight w:val="none"/>
        </w:rPr>
        <w:t>在情况说明栏分别填入</w:t>
      </w:r>
      <w:r>
        <w:rPr>
          <w:rFonts w:ascii="仿宋_GB2312" w:hAnsi="宋体" w:eastAsia="仿宋_GB2312" w:cs="宋体"/>
          <w:color w:val="000000"/>
          <w:kern w:val="0"/>
          <w:sz w:val="28"/>
          <w:szCs w:val="28"/>
          <w:highlight w:val="none"/>
        </w:rPr>
        <w:t>2021</w:t>
      </w:r>
      <w:r>
        <w:rPr>
          <w:rFonts w:hint="eastAsia" w:ascii="仿宋_GB2312" w:hAnsi="宋体" w:eastAsia="仿宋_GB2312" w:cs="宋体"/>
          <w:color w:val="000000"/>
          <w:kern w:val="0"/>
          <w:sz w:val="28"/>
          <w:szCs w:val="28"/>
          <w:highlight w:val="none"/>
        </w:rPr>
        <w:t>年度、</w:t>
      </w:r>
      <w:r>
        <w:rPr>
          <w:rFonts w:ascii="仿宋_GB2312" w:hAnsi="宋体" w:eastAsia="仿宋_GB2312" w:cs="宋体"/>
          <w:color w:val="000000"/>
          <w:kern w:val="0"/>
          <w:sz w:val="28"/>
          <w:szCs w:val="28"/>
          <w:highlight w:val="none"/>
        </w:rPr>
        <w:t>2022</w:t>
      </w:r>
      <w:r>
        <w:rPr>
          <w:rFonts w:hint="eastAsia" w:ascii="仿宋_GB2312" w:hAnsi="宋体" w:eastAsia="仿宋_GB2312" w:cs="宋体"/>
          <w:color w:val="000000"/>
          <w:kern w:val="0"/>
          <w:sz w:val="28"/>
          <w:szCs w:val="28"/>
          <w:highlight w:val="none"/>
        </w:rPr>
        <w:t>年度信息，</w:t>
      </w:r>
      <w:r>
        <w:rPr>
          <w:rFonts w:hint="eastAsia" w:ascii="仿宋_GB2312" w:hAnsi="宋体" w:eastAsia="仿宋_GB2312" w:cs="宋体"/>
          <w:kern w:val="0"/>
          <w:sz w:val="28"/>
          <w:szCs w:val="28"/>
          <w:highlight w:val="none"/>
        </w:rPr>
        <w:t>建议</w:t>
      </w:r>
      <w:r>
        <w:rPr>
          <w:rFonts w:ascii="仿宋_GB2312" w:hAnsi="宋体" w:eastAsia="仿宋_GB2312" w:cs="宋体"/>
          <w:kern w:val="0"/>
          <w:sz w:val="28"/>
          <w:szCs w:val="28"/>
          <w:highlight w:val="none"/>
        </w:rPr>
        <w:t>300</w:t>
      </w:r>
      <w:r>
        <w:rPr>
          <w:rFonts w:hint="eastAsia" w:ascii="仿宋_GB2312" w:hAnsi="宋体" w:eastAsia="仿宋_GB2312" w:cs="宋体"/>
          <w:kern w:val="0"/>
          <w:sz w:val="28"/>
          <w:szCs w:val="28"/>
          <w:highlight w:val="none"/>
        </w:rPr>
        <w:t>字以内，必要时可延展表格或附补充资料。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3</w:t>
      </w:r>
      <w:r>
        <w:rPr>
          <w:rFonts w:hint="eastAsia" w:ascii="仿宋_GB2312" w:hAnsi="宋体" w:eastAsia="仿宋_GB2312" w:cs="宋体"/>
          <w:kern w:val="0"/>
          <w:sz w:val="28"/>
          <w:szCs w:val="28"/>
          <w:highlight w:val="none"/>
        </w:rPr>
        <w:t>、表</w:t>
      </w:r>
      <w:r>
        <w:rPr>
          <w:rFonts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rPr>
        <w:t>由省（区、市）工业经济联合会（协会）和相关全国性工业行业联合会（协会）填写。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4</w:t>
      </w:r>
      <w:r>
        <w:rPr>
          <w:rFonts w:hint="eastAsia" w:ascii="仿宋_GB2312" w:hAnsi="宋体" w:eastAsia="仿宋_GB2312" w:cs="宋体"/>
          <w:kern w:val="0"/>
          <w:sz w:val="28"/>
          <w:szCs w:val="28"/>
          <w:highlight w:val="none"/>
        </w:rPr>
        <w:t>、表</w:t>
      </w:r>
      <w:r>
        <w:rPr>
          <w:rFonts w:ascii="仿宋_GB2312" w:hAnsi="宋体" w:eastAsia="仿宋_GB2312" w:cs="宋体"/>
          <w:kern w:val="0"/>
          <w:sz w:val="28"/>
          <w:szCs w:val="28"/>
          <w:highlight w:val="none"/>
        </w:rPr>
        <w:t>6</w:t>
      </w:r>
      <w:r>
        <w:rPr>
          <w:rFonts w:hint="eastAsia" w:ascii="仿宋_GB2312" w:hAnsi="宋体" w:eastAsia="仿宋_GB2312" w:cs="宋体"/>
          <w:kern w:val="0"/>
          <w:sz w:val="28"/>
          <w:szCs w:val="28"/>
          <w:highlight w:val="none"/>
        </w:rPr>
        <w:t>由行业评审专家委员会填写。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rPr>
        <w:t>、表</w:t>
      </w:r>
      <w:r>
        <w:rPr>
          <w:rFonts w:ascii="仿宋_GB2312" w:hAnsi="宋体" w:eastAsia="仿宋_GB2312" w:cs="宋体"/>
          <w:kern w:val="0"/>
          <w:sz w:val="28"/>
          <w:szCs w:val="28"/>
          <w:highlight w:val="none"/>
        </w:rPr>
        <w:t>7</w:t>
      </w:r>
      <w:r>
        <w:rPr>
          <w:rFonts w:hint="eastAsia" w:ascii="仿宋_GB2312" w:hAnsi="宋体" w:eastAsia="仿宋_GB2312" w:cs="宋体"/>
          <w:kern w:val="0"/>
          <w:sz w:val="28"/>
          <w:szCs w:val="28"/>
          <w:highlight w:val="none"/>
        </w:rPr>
        <w:t>由综合评审专家委员会填写。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6</w:t>
      </w:r>
      <w:r>
        <w:rPr>
          <w:rFonts w:hint="eastAsia" w:ascii="仿宋_GB2312" w:hAnsi="宋体" w:eastAsia="仿宋_GB2312" w:cs="宋体"/>
          <w:kern w:val="0"/>
          <w:sz w:val="28"/>
          <w:szCs w:val="28"/>
          <w:highlight w:val="none"/>
        </w:rPr>
        <w:t>、表</w:t>
      </w:r>
      <w:r>
        <w:rPr>
          <w:rFonts w:ascii="仿宋_GB2312" w:hAnsi="宋体" w:eastAsia="仿宋_GB2312" w:cs="宋体"/>
          <w:kern w:val="0"/>
          <w:sz w:val="28"/>
          <w:szCs w:val="28"/>
          <w:highlight w:val="none"/>
        </w:rPr>
        <w:t>8</w:t>
      </w:r>
      <w:r>
        <w:rPr>
          <w:rFonts w:hint="eastAsia" w:ascii="仿宋_GB2312" w:hAnsi="宋体" w:eastAsia="仿宋_GB2312" w:cs="宋体"/>
          <w:kern w:val="0"/>
          <w:sz w:val="28"/>
          <w:szCs w:val="28"/>
          <w:highlight w:val="none"/>
        </w:rPr>
        <w:t>由中国工业大奖工作委员会填写。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7</w:t>
      </w:r>
      <w:r>
        <w:rPr>
          <w:rFonts w:hint="eastAsia" w:ascii="仿宋_GB2312" w:hAnsi="宋体" w:eastAsia="仿宋_GB2312" w:cs="宋体"/>
          <w:kern w:val="0"/>
          <w:sz w:val="28"/>
          <w:szCs w:val="28"/>
          <w:highlight w:val="none"/>
        </w:rPr>
        <w:t>、表</w:t>
      </w:r>
      <w:r>
        <w:rPr>
          <w:rFonts w:ascii="仿宋_GB2312" w:hAnsi="宋体" w:eastAsia="仿宋_GB2312" w:cs="宋体"/>
          <w:kern w:val="0"/>
          <w:sz w:val="28"/>
          <w:szCs w:val="28"/>
          <w:highlight w:val="none"/>
        </w:rPr>
        <w:t>9</w:t>
      </w:r>
      <w:r>
        <w:rPr>
          <w:rFonts w:hint="eastAsia" w:ascii="仿宋_GB2312" w:hAnsi="宋体" w:eastAsia="仿宋_GB2312" w:cs="宋体"/>
          <w:kern w:val="0"/>
          <w:sz w:val="28"/>
          <w:szCs w:val="28"/>
          <w:highlight w:val="none"/>
        </w:rPr>
        <w:t>由中国工业大奖审定委员会填写。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8</w:t>
      </w:r>
      <w:r>
        <w:rPr>
          <w:rFonts w:hint="eastAsia" w:ascii="仿宋_GB2312" w:hAnsi="宋体" w:eastAsia="仿宋_GB2312" w:cs="宋体"/>
          <w:kern w:val="0"/>
          <w:sz w:val="28"/>
          <w:szCs w:val="28"/>
          <w:highlight w:val="none"/>
        </w:rPr>
        <w:t>、申报单位须提供企业法人营业执照、组织机构代码、税务登记证、注册商标证明、财务报表以及反映企业生产发展过程中所取得的其它证明性材料、荣誉证书等复印件。</w:t>
      </w:r>
    </w:p>
    <w:p>
      <w:pPr>
        <w:widowControl/>
        <w:snapToGrid w:val="0"/>
        <w:spacing w:line="360" w:lineRule="auto"/>
        <w:ind w:firstLine="629"/>
        <w:rPr>
          <w:rFonts w:ascii="仿宋_GB2312" w:hAnsi="宋体" w:eastAsia="仿宋_GB2312" w:cs="宋体"/>
          <w:color w:val="000000"/>
          <w:kern w:val="0"/>
          <w:sz w:val="28"/>
          <w:szCs w:val="28"/>
          <w:highlight w:val="none"/>
        </w:rPr>
      </w:pPr>
      <w:r>
        <w:rPr>
          <w:rFonts w:ascii="仿宋_GB2312" w:hAnsi="宋体" w:eastAsia="仿宋_GB2312" w:cs="宋体"/>
          <w:kern w:val="0"/>
          <w:sz w:val="28"/>
          <w:szCs w:val="28"/>
          <w:highlight w:val="none"/>
        </w:rPr>
        <w:t>10</w:t>
      </w:r>
      <w:r>
        <w:rPr>
          <w:rFonts w:hint="eastAsia" w:ascii="仿宋_GB2312" w:hAnsi="宋体" w:eastAsia="仿宋_GB2312" w:cs="宋体"/>
          <w:kern w:val="0"/>
          <w:sz w:val="28"/>
          <w:szCs w:val="28"/>
          <w:highlight w:val="none"/>
        </w:rPr>
        <w:t>、</w:t>
      </w:r>
      <w:r>
        <w:rPr>
          <w:rFonts w:hint="eastAsia" w:ascii="仿宋_GB2312" w:hAnsi="宋体" w:eastAsia="仿宋_GB2312" w:cs="宋体"/>
          <w:color w:val="000000"/>
          <w:kern w:val="0"/>
          <w:sz w:val="28"/>
          <w:szCs w:val="28"/>
          <w:highlight w:val="none"/>
        </w:rPr>
        <w:t>申报材料须同时提供纸质版本</w:t>
      </w:r>
      <w:r>
        <w:rPr>
          <w:rFonts w:hint="eastAsia" w:ascii="仿宋_GB2312" w:hAnsi="宋体" w:eastAsia="仿宋_GB2312" w:cs="宋体"/>
          <w:kern w:val="0"/>
          <w:sz w:val="28"/>
          <w:szCs w:val="28"/>
          <w:highlight w:val="none"/>
        </w:rPr>
        <w:t>（一式两份，加盖公章）</w:t>
      </w:r>
      <w:r>
        <w:rPr>
          <w:rFonts w:hint="eastAsia" w:ascii="仿宋_GB2312" w:hAnsi="宋体" w:eastAsia="仿宋_GB2312" w:cs="宋体"/>
          <w:color w:val="000000"/>
          <w:kern w:val="0"/>
          <w:sz w:val="28"/>
          <w:szCs w:val="28"/>
          <w:highlight w:val="none"/>
        </w:rPr>
        <w:t>和电子版本（光盘或U盘），其中纸质材料一份由申报受理单位存档，一份由中国工业大奖办公室存档。</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11</w:t>
      </w:r>
      <w:r>
        <w:rPr>
          <w:rFonts w:hint="eastAsia" w:ascii="仿宋_GB2312" w:hAnsi="宋体" w:eastAsia="仿宋_GB2312" w:cs="宋体"/>
          <w:kern w:val="0"/>
          <w:sz w:val="28"/>
          <w:szCs w:val="28"/>
          <w:highlight w:val="none"/>
        </w:rPr>
        <w:t>、申报材料采用</w:t>
      </w:r>
      <w:r>
        <w:rPr>
          <w:rFonts w:ascii="仿宋_GB2312" w:hAnsi="宋体" w:eastAsia="仿宋_GB2312" w:cs="宋体"/>
          <w:kern w:val="0"/>
          <w:sz w:val="28"/>
          <w:szCs w:val="28"/>
          <w:highlight w:val="none"/>
        </w:rPr>
        <w:t>A4</w:t>
      </w:r>
      <w:r>
        <w:rPr>
          <w:rFonts w:hint="eastAsia" w:ascii="仿宋_GB2312" w:hAnsi="宋体" w:eastAsia="仿宋_GB2312" w:cs="宋体"/>
          <w:kern w:val="0"/>
          <w:sz w:val="28"/>
          <w:szCs w:val="28"/>
          <w:highlight w:val="none"/>
        </w:rPr>
        <w:t>纸打印，左侧装订，平装</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12</w:t>
      </w:r>
      <w:r>
        <w:rPr>
          <w:rFonts w:hint="eastAsia" w:ascii="仿宋_GB2312" w:hAnsi="宋体" w:eastAsia="仿宋_GB2312" w:cs="宋体"/>
          <w:kern w:val="0"/>
          <w:sz w:val="28"/>
          <w:szCs w:val="28"/>
          <w:highlight w:val="none"/>
        </w:rPr>
        <w:t>、申报材料不予更换和退回。</w:t>
      </w:r>
    </w:p>
    <w:p>
      <w:pPr>
        <w:widowControl/>
        <w:spacing w:before="100" w:beforeAutospacing="1" w:after="100" w:afterAutospacing="1" w:line="420" w:lineRule="auto"/>
        <w:jc w:val="left"/>
        <w:rPr>
          <w:rFonts w:ascii="Times New Roman" w:hAnsi="Times New Roman" w:eastAsia="仿宋_GB2312"/>
          <w:b/>
          <w:smallCaps/>
          <w:sz w:val="32"/>
          <w:szCs w:val="20"/>
          <w:highlight w:val="none"/>
        </w:rPr>
        <w:sectPr>
          <w:pgSz w:w="12240" w:h="15840"/>
          <w:pgMar w:top="1440" w:right="1800" w:bottom="1440" w:left="1800" w:header="720" w:footer="720" w:gutter="0"/>
          <w:cols w:space="720" w:num="1"/>
        </w:sectPr>
      </w:pPr>
    </w:p>
    <w:p>
      <w:pPr>
        <w:widowControl/>
        <w:snapToGrid w:val="0"/>
        <w:jc w:val="left"/>
        <w:rPr>
          <w:rFonts w:ascii="仿宋_GB2312" w:hAnsi="Arial" w:eastAsia="仿宋_GB2312" w:cs="Arial"/>
          <w:b/>
          <w:bCs/>
          <w:color w:val="000000" w:themeColor="text1"/>
          <w:kern w:val="0"/>
          <w:sz w:val="36"/>
          <w:highlight w:val="none"/>
          <w14:textFill>
            <w14:solidFill>
              <w14:schemeClr w14:val="tx1"/>
            </w14:solidFill>
          </w14:textFill>
        </w:rPr>
      </w:pPr>
      <w:r>
        <w:rPr>
          <w:rFonts w:hint="eastAsia" w:ascii="仿宋_GB2312" w:hAnsi="Arial" w:eastAsia="仿宋_GB2312" w:cs="Arial"/>
          <w:b/>
          <w:bCs/>
          <w:color w:val="000000" w:themeColor="text1"/>
          <w:kern w:val="0"/>
          <w:sz w:val="36"/>
          <w:highlight w:val="none"/>
          <w14:textFill>
            <w14:solidFill>
              <w14:schemeClr w14:val="tx1"/>
            </w14:solidFill>
          </w14:textFill>
        </w:rPr>
        <w:t>表</w:t>
      </w:r>
      <w:r>
        <w:rPr>
          <w:rFonts w:ascii="Times New Roman" w:hAnsi="Times New Roman"/>
          <w:b/>
          <w:bCs/>
          <w:color w:val="000000" w:themeColor="text1"/>
          <w:kern w:val="0"/>
          <w:sz w:val="36"/>
          <w:szCs w:val="24"/>
          <w:highlight w:val="none"/>
          <w14:textFill>
            <w14:solidFill>
              <w14:schemeClr w14:val="tx1"/>
            </w14:solidFill>
          </w14:textFill>
        </w:rPr>
        <w:t>1</w:t>
      </w:r>
      <w:r>
        <w:rPr>
          <w:rFonts w:ascii="仿宋_GB2312" w:hAnsi="Arial" w:eastAsia="仿宋_GB2312" w:cs="Arial"/>
          <w:b/>
          <w:bCs/>
          <w:color w:val="000000" w:themeColor="text1"/>
          <w:kern w:val="0"/>
          <w:sz w:val="36"/>
          <w:highlight w:val="none"/>
          <w14:textFill>
            <w14:solidFill>
              <w14:schemeClr w14:val="tx1"/>
            </w14:solidFill>
          </w14:textFill>
        </w:rPr>
        <w:t xml:space="preserve">  </w:t>
      </w:r>
      <w:r>
        <w:rPr>
          <w:rFonts w:hint="eastAsia" w:ascii="仿宋_GB2312" w:hAnsi="Arial" w:eastAsia="仿宋_GB2312" w:cs="Arial"/>
          <w:b/>
          <w:bCs/>
          <w:color w:val="000000" w:themeColor="text1"/>
          <w:kern w:val="0"/>
          <w:sz w:val="36"/>
          <w:highlight w:val="none"/>
          <w14:textFill>
            <w14:solidFill>
              <w14:schemeClr w14:val="tx1"/>
            </w14:solidFill>
          </w14:textFill>
        </w:rPr>
        <w:t>项目申报单位基本情况</w:t>
      </w:r>
    </w:p>
    <w:tbl>
      <w:tblPr>
        <w:tblStyle w:val="8"/>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304"/>
        <w:gridCol w:w="1503"/>
        <w:gridCol w:w="1500"/>
        <w:gridCol w:w="1823"/>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548" w:type="dxa"/>
            <w:vAlign w:val="top"/>
          </w:tcPr>
          <w:p>
            <w:pPr>
              <w:widowControl/>
              <w:spacing w:before="156" w:after="156" w:line="36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企业名称</w:t>
            </w:r>
          </w:p>
        </w:tc>
        <w:tc>
          <w:tcPr>
            <w:tcW w:w="7528" w:type="dxa"/>
            <w:gridSpan w:val="5"/>
            <w:vAlign w:val="top"/>
          </w:tcPr>
          <w:p>
            <w:pPr>
              <w:widowControl/>
              <w:spacing w:before="156" w:after="156" w:line="360" w:lineRule="exact"/>
              <w:jc w:val="center"/>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48"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官方网址</w:t>
            </w:r>
          </w:p>
        </w:tc>
        <w:tc>
          <w:tcPr>
            <w:tcW w:w="2807" w:type="dxa"/>
            <w:gridSpan w:val="2"/>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500"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电子信箱</w:t>
            </w:r>
          </w:p>
        </w:tc>
        <w:tc>
          <w:tcPr>
            <w:tcW w:w="3221" w:type="dxa"/>
            <w:gridSpan w:val="2"/>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48"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办公地址</w:t>
            </w:r>
          </w:p>
        </w:tc>
        <w:tc>
          <w:tcPr>
            <w:tcW w:w="4307" w:type="dxa"/>
            <w:gridSpan w:val="3"/>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823"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邮政编码</w:t>
            </w:r>
          </w:p>
        </w:tc>
        <w:tc>
          <w:tcPr>
            <w:tcW w:w="1398" w:type="dxa"/>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48"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成立时间</w:t>
            </w:r>
          </w:p>
        </w:tc>
        <w:tc>
          <w:tcPr>
            <w:tcW w:w="1304"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503"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法人代表</w:t>
            </w:r>
          </w:p>
        </w:tc>
        <w:tc>
          <w:tcPr>
            <w:tcW w:w="1500"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823"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总经理</w:t>
            </w:r>
            <w:r>
              <w:rPr>
                <w:rFonts w:ascii="Times New Roman" w:hAnsi="Times New Roman" w:eastAsia="仿宋_GB2312"/>
                <w:color w:val="000000" w:themeColor="text1"/>
                <w:kern w:val="0"/>
                <w:sz w:val="30"/>
                <w:szCs w:val="30"/>
                <w:highlight w:val="none"/>
                <w14:textFill>
                  <w14:solidFill>
                    <w14:schemeClr w14:val="tx1"/>
                  </w14:solidFill>
                </w14:textFill>
              </w:rPr>
              <w:t>/</w:t>
            </w:r>
            <w:r>
              <w:rPr>
                <w:rFonts w:hint="eastAsia" w:ascii="Times New Roman" w:hAnsi="宋体" w:eastAsia="仿宋_GB2312" w:cs="宋体"/>
                <w:color w:val="000000" w:themeColor="text1"/>
                <w:kern w:val="0"/>
                <w:sz w:val="30"/>
                <w:szCs w:val="30"/>
                <w:highlight w:val="none"/>
                <w14:textFill>
                  <w14:solidFill>
                    <w14:schemeClr w14:val="tx1"/>
                  </w14:solidFill>
                </w14:textFill>
              </w:rPr>
              <w:t>总裁</w:t>
            </w:r>
          </w:p>
        </w:tc>
        <w:tc>
          <w:tcPr>
            <w:tcW w:w="1398" w:type="dxa"/>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48" w:type="dxa"/>
            <w:vAlign w:val="center"/>
          </w:tcPr>
          <w:p>
            <w:pPr>
              <w:widowControl/>
              <w:spacing w:before="156" w:after="156" w:line="400" w:lineRule="exact"/>
              <w:jc w:val="center"/>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职工人数</w:t>
            </w:r>
          </w:p>
        </w:tc>
        <w:tc>
          <w:tcPr>
            <w:tcW w:w="1304" w:type="dxa"/>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p>
        </w:tc>
        <w:tc>
          <w:tcPr>
            <w:tcW w:w="1503" w:type="dxa"/>
            <w:vAlign w:val="center"/>
          </w:tcPr>
          <w:p>
            <w:pPr>
              <w:widowControl/>
              <w:spacing w:line="400" w:lineRule="exact"/>
              <w:jc w:val="center"/>
              <w:rPr>
                <w:highlight w:val="none"/>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注册资本</w:t>
            </w:r>
          </w:p>
        </w:tc>
        <w:tc>
          <w:tcPr>
            <w:tcW w:w="1500" w:type="dxa"/>
            <w:vAlign w:val="center"/>
          </w:tcPr>
          <w:p>
            <w:pPr>
              <w:widowControl/>
              <w:spacing w:before="156" w:after="156" w:line="400" w:lineRule="exact"/>
              <w:jc w:val="center"/>
              <w:rPr>
                <w:highlight w:val="none"/>
              </w:rPr>
            </w:pPr>
          </w:p>
        </w:tc>
        <w:tc>
          <w:tcPr>
            <w:tcW w:w="1823" w:type="dxa"/>
            <w:vAlign w:val="center"/>
          </w:tcPr>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固定资产</w:t>
            </w:r>
          </w:p>
          <w:p>
            <w:pPr>
              <w:widowControl/>
              <w:spacing w:line="400" w:lineRule="exact"/>
              <w:jc w:val="center"/>
              <w:rPr>
                <w:highlight w:val="none"/>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（净值）</w:t>
            </w:r>
          </w:p>
        </w:tc>
        <w:tc>
          <w:tcPr>
            <w:tcW w:w="1398" w:type="dxa"/>
            <w:vAlign w:val="center"/>
          </w:tcPr>
          <w:p>
            <w:pPr>
              <w:widowControl/>
              <w:spacing w:before="156" w:after="156" w:line="400" w:lineRule="exact"/>
              <w:jc w:val="left"/>
              <w:rPr>
                <w:highlight w:val="none"/>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548" w:type="dxa"/>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所属行业</w:t>
            </w:r>
          </w:p>
        </w:tc>
        <w:tc>
          <w:tcPr>
            <w:tcW w:w="1304" w:type="dxa"/>
            <w:vAlign w:val="center"/>
          </w:tcPr>
          <w:p>
            <w:pPr>
              <w:widowControl/>
              <w:spacing w:before="156" w:after="156" w:line="400" w:lineRule="exact"/>
              <w:jc w:val="center"/>
              <w:rPr>
                <w:highlight w:val="none"/>
              </w:rPr>
            </w:pPr>
          </w:p>
        </w:tc>
        <w:tc>
          <w:tcPr>
            <w:tcW w:w="1503" w:type="dxa"/>
            <w:vAlign w:val="center"/>
          </w:tcPr>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上市股</w:t>
            </w:r>
          </w:p>
          <w:p>
            <w:pPr>
              <w:widowControl/>
              <w:spacing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种类</w:t>
            </w:r>
          </w:p>
        </w:tc>
        <w:tc>
          <w:tcPr>
            <w:tcW w:w="1500" w:type="dxa"/>
            <w:vAlign w:val="center"/>
          </w:tcPr>
          <w:p>
            <w:pPr>
              <w:widowControl/>
              <w:spacing w:before="156" w:after="156" w:line="400" w:lineRule="exact"/>
              <w:jc w:val="center"/>
              <w:rPr>
                <w:highlight w:val="none"/>
              </w:rPr>
            </w:pPr>
          </w:p>
        </w:tc>
        <w:tc>
          <w:tcPr>
            <w:tcW w:w="1823" w:type="dxa"/>
            <w:vAlign w:val="center"/>
          </w:tcPr>
          <w:p>
            <w:pPr>
              <w:widowControl/>
              <w:spacing w:line="400" w:lineRule="exact"/>
              <w:jc w:val="center"/>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中资控股</w:t>
            </w:r>
          </w:p>
          <w:p>
            <w:pPr>
              <w:widowControl/>
              <w:spacing w:line="400" w:lineRule="exact"/>
              <w:jc w:val="center"/>
              <w:rPr>
                <w:highlight w:val="none"/>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比例</w:t>
            </w:r>
          </w:p>
        </w:tc>
        <w:tc>
          <w:tcPr>
            <w:tcW w:w="1398" w:type="dxa"/>
            <w:vAlign w:val="center"/>
          </w:tcPr>
          <w:p>
            <w:pPr>
              <w:widowControl/>
              <w:spacing w:before="156" w:after="156" w:line="400" w:lineRule="exact"/>
              <w:jc w:val="left"/>
              <w:rPr>
                <w:highlight w:val="none"/>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548" w:type="dxa"/>
            <w:vAlign w:val="center"/>
          </w:tcPr>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企业性质</w:t>
            </w:r>
          </w:p>
        </w:tc>
        <w:tc>
          <w:tcPr>
            <w:tcW w:w="7528" w:type="dxa"/>
            <w:gridSpan w:val="5"/>
            <w:vAlign w:val="center"/>
          </w:tcPr>
          <w:p>
            <w:pPr>
              <w:widowControl/>
              <w:spacing w:before="156" w:after="156" w:line="400" w:lineRule="exact"/>
              <w:ind w:left="210" w:hanging="210" w:hangingChars="100"/>
              <w:jc w:val="left"/>
              <w:rPr>
                <w:rFonts w:ascii="宋体" w:hAnsi="宋体"/>
                <w:color w:val="000000" w:themeColor="text1"/>
                <w:szCs w:val="21"/>
                <w:highlight w:val="none"/>
                <w14:textFill>
                  <w14:solidFill>
                    <w14:schemeClr w14:val="tx1"/>
                  </w14:solidFill>
                </w14:textFill>
              </w:rPr>
            </w:pP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国有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集体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私营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外商投资</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股份制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联营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个人独资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有限合伙</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其他</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852" w:type="dxa"/>
            <w:gridSpan w:val="2"/>
            <w:vAlign w:val="center"/>
          </w:tcPr>
          <w:p>
            <w:pPr>
              <w:widowControl/>
              <w:spacing w:before="156" w:after="156" w:line="40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股东名称及</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持股比例（前三名）</w:t>
            </w:r>
          </w:p>
        </w:tc>
        <w:tc>
          <w:tcPr>
            <w:tcW w:w="6224" w:type="dxa"/>
            <w:gridSpan w:val="4"/>
            <w:vAlign w:val="center"/>
          </w:tcPr>
          <w:p>
            <w:pPr>
              <w:widowControl/>
              <w:spacing w:before="156" w:after="156" w:line="400" w:lineRule="exact"/>
              <w:jc w:val="left"/>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pPr>
            <w:r>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t>股东1：</w:t>
            </w:r>
          </w:p>
          <w:p>
            <w:pPr>
              <w:widowControl/>
              <w:spacing w:before="156" w:after="156" w:line="400" w:lineRule="exact"/>
              <w:jc w:val="left"/>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pPr>
            <w:r>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t>股东2：</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t>股东3：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548" w:type="dxa"/>
            <w:vAlign w:val="center"/>
          </w:tcPr>
          <w:p>
            <w:pPr>
              <w:widowControl/>
              <w:spacing w:before="156" w:after="156" w:line="400" w:lineRule="exact"/>
              <w:jc w:val="center"/>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联</w:t>
            </w:r>
            <w:r>
              <w:rPr>
                <w:rFonts w:ascii="Times New Roman" w:hAnsi="Times New Roman" w:eastAsia="仿宋_GB2312"/>
                <w:color w:val="000000" w:themeColor="text1"/>
                <w:kern w:val="0"/>
                <w:sz w:val="30"/>
                <w:szCs w:val="30"/>
                <w:highlight w:val="none"/>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系</w:t>
            </w:r>
            <w:r>
              <w:rPr>
                <w:rFonts w:ascii="Times New Roman" w:hAnsi="Times New Roman" w:eastAsia="仿宋_GB2312"/>
                <w:color w:val="000000" w:themeColor="text1"/>
                <w:kern w:val="0"/>
                <w:sz w:val="30"/>
                <w:szCs w:val="30"/>
                <w:highlight w:val="none"/>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人</w:t>
            </w:r>
          </w:p>
        </w:tc>
        <w:tc>
          <w:tcPr>
            <w:tcW w:w="2807" w:type="dxa"/>
            <w:gridSpan w:val="2"/>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c>
          <w:tcPr>
            <w:tcW w:w="1500" w:type="dxa"/>
            <w:vAlign w:val="center"/>
          </w:tcPr>
          <w:p>
            <w:pPr>
              <w:widowControl/>
              <w:spacing w:before="156" w:after="156" w:line="400" w:lineRule="exact"/>
              <w:ind w:left="-601" w:leftChars="-286" w:firstLine="564" w:firstLineChars="188"/>
              <w:jc w:val="center"/>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职</w:t>
            </w:r>
            <w:r>
              <w:rPr>
                <w:rFonts w:ascii="Times New Roman" w:hAnsi="Times New Roman" w:eastAsia="仿宋_GB2312"/>
                <w:color w:val="000000" w:themeColor="text1"/>
                <w:kern w:val="0"/>
                <w:sz w:val="30"/>
                <w:szCs w:val="30"/>
                <w:highlight w:val="none"/>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务</w:t>
            </w:r>
          </w:p>
        </w:tc>
        <w:tc>
          <w:tcPr>
            <w:tcW w:w="3221" w:type="dxa"/>
            <w:gridSpan w:val="2"/>
            <w:vAlign w:val="center"/>
          </w:tcPr>
          <w:p>
            <w:pPr>
              <w:widowControl/>
              <w:spacing w:before="156" w:after="156" w:line="4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548"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电</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话</w:t>
            </w:r>
            <w:r>
              <w:rPr>
                <w:rFonts w:ascii="宋体" w:cs="宋体"/>
                <w:color w:val="000000" w:themeColor="text1"/>
                <w:kern w:val="0"/>
                <w:sz w:val="24"/>
                <w:szCs w:val="24"/>
                <w:highlight w:val="none"/>
                <w14:textFill>
                  <w14:solidFill>
                    <w14:schemeClr w14:val="tx1"/>
                  </w14:solidFill>
                </w14:textFill>
              </w:rPr>
              <w:t xml:space="preserve"> </w:t>
            </w:r>
          </w:p>
        </w:tc>
        <w:tc>
          <w:tcPr>
            <w:tcW w:w="2807" w:type="dxa"/>
            <w:gridSpan w:val="2"/>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c>
          <w:tcPr>
            <w:tcW w:w="1500" w:type="dxa"/>
            <w:vAlign w:val="center"/>
          </w:tcPr>
          <w:p>
            <w:pPr>
              <w:widowControl/>
              <w:spacing w:before="156" w:after="156" w:line="400" w:lineRule="exact"/>
              <w:ind w:left="-601" w:leftChars="-286" w:firstLine="564" w:firstLineChars="188"/>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传</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真</w:t>
            </w:r>
          </w:p>
        </w:tc>
        <w:tc>
          <w:tcPr>
            <w:tcW w:w="3221" w:type="dxa"/>
            <w:gridSpan w:val="2"/>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1548" w:type="dxa"/>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手</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机</w:t>
            </w:r>
          </w:p>
        </w:tc>
        <w:tc>
          <w:tcPr>
            <w:tcW w:w="2807" w:type="dxa"/>
            <w:gridSpan w:val="2"/>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500" w:type="dxa"/>
            <w:vAlign w:val="center"/>
          </w:tcPr>
          <w:p>
            <w:pPr>
              <w:widowControl/>
              <w:spacing w:before="156" w:after="156" w:line="400" w:lineRule="exact"/>
              <w:ind w:left="-601" w:leftChars="-286" w:firstLine="564" w:firstLineChars="188"/>
              <w:jc w:val="center"/>
              <w:rPr>
                <w:highlight w:val="none"/>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微信</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号码</w:t>
            </w:r>
          </w:p>
        </w:tc>
        <w:tc>
          <w:tcPr>
            <w:tcW w:w="3221" w:type="dxa"/>
            <w:gridSpan w:val="2"/>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76" w:type="dxa"/>
            <w:gridSpan w:val="6"/>
            <w:vAlign w:val="top"/>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b/>
                <w:color w:val="000000" w:themeColor="text1"/>
                <w:kern w:val="0"/>
                <w:sz w:val="30"/>
                <w:szCs w:val="30"/>
                <w:highlight w:val="none"/>
                <w14:textFill>
                  <w14:solidFill>
                    <w14:schemeClr w14:val="tx1"/>
                  </w14:solidFill>
                </w14:textFill>
              </w:rPr>
              <w:t>主营产品生产能力及产销量：</w:t>
            </w:r>
          </w:p>
          <w:p>
            <w:pPr>
              <w:widowControl/>
              <w:spacing w:line="48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p>
            <w:pPr>
              <w:widowControl/>
              <w:spacing w:line="48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p>
            <w:pPr>
              <w:widowControl/>
              <w:spacing w:line="480" w:lineRule="exact"/>
              <w:jc w:val="left"/>
              <w:rPr>
                <w:rFonts w:ascii="宋体" w:cs="宋体"/>
                <w:color w:val="000000" w:themeColor="text1"/>
                <w:kern w:val="0"/>
                <w:sz w:val="24"/>
                <w:szCs w:val="24"/>
                <w:highlight w:val="none"/>
                <w14:textFill>
                  <w14:solidFill>
                    <w14:schemeClr w14:val="tx1"/>
                  </w14:solidFill>
                </w14:textFill>
              </w:rPr>
            </w:pPr>
          </w:p>
        </w:tc>
      </w:tr>
    </w:tbl>
    <w:p>
      <w:pPr>
        <w:widowControl/>
        <w:snapToGrid w:val="0"/>
        <w:jc w:val="left"/>
        <w:rPr>
          <w:rFonts w:ascii="仿宋_GB2312" w:hAnsi="Times New Roman" w:eastAsia="仿宋_GB2312"/>
          <w:b/>
          <w:smallCaps/>
          <w:color w:val="000000" w:themeColor="text1"/>
          <w:sz w:val="32"/>
          <w:szCs w:val="20"/>
          <w:highlight w:val="none"/>
          <w14:textFill>
            <w14:solidFill>
              <w14:schemeClr w14:val="tx1"/>
            </w14:solidFill>
          </w14:textFill>
        </w:rPr>
        <w:sectPr>
          <w:footerReference r:id="rId4" w:type="default"/>
          <w:pgSz w:w="12240" w:h="15840"/>
          <w:pgMar w:top="1440" w:right="1800" w:bottom="1440" w:left="1800" w:header="720" w:footer="720" w:gutter="0"/>
          <w:pgNumType w:start="1"/>
          <w:cols w:space="720" w:num="1"/>
        </w:sectPr>
      </w:pPr>
    </w:p>
    <w:p>
      <w:pPr>
        <w:widowControl/>
        <w:snapToGrid w:val="0"/>
        <w:jc w:val="left"/>
        <w:rPr>
          <w:rFonts w:ascii="Arial" w:hAnsi="Arial" w:cs="Arial"/>
          <w:color w:val="000000" w:themeColor="text1"/>
          <w:kern w:val="0"/>
          <w:sz w:val="18"/>
          <w:szCs w:val="18"/>
          <w:highlight w:val="none"/>
          <w14:textFill>
            <w14:solidFill>
              <w14:schemeClr w14:val="tx1"/>
            </w14:solidFill>
          </w14:textFill>
        </w:rPr>
      </w:pPr>
      <w:r>
        <w:rPr>
          <w:rFonts w:hint="eastAsia" w:ascii="仿宋_GB2312" w:hAnsi="Arial" w:eastAsia="仿宋_GB2312" w:cs="Arial"/>
          <w:b/>
          <w:bCs/>
          <w:color w:val="000000" w:themeColor="text1"/>
          <w:kern w:val="0"/>
          <w:sz w:val="36"/>
          <w:highlight w:val="none"/>
          <w14:textFill>
            <w14:solidFill>
              <w14:schemeClr w14:val="tx1"/>
            </w14:solidFill>
          </w14:textFill>
        </w:rPr>
        <w:t>表</w:t>
      </w:r>
      <w:r>
        <w:rPr>
          <w:rFonts w:ascii="Times New Roman" w:hAnsi="Times New Roman"/>
          <w:b/>
          <w:bCs/>
          <w:color w:val="000000" w:themeColor="text1"/>
          <w:kern w:val="0"/>
          <w:sz w:val="36"/>
          <w:szCs w:val="24"/>
          <w:highlight w:val="none"/>
          <w14:textFill>
            <w14:solidFill>
              <w14:schemeClr w14:val="tx1"/>
            </w14:solidFill>
          </w14:textFill>
        </w:rPr>
        <w:t>2</w:t>
      </w:r>
      <w:r>
        <w:rPr>
          <w:rFonts w:ascii="仿宋_GB2312" w:hAnsi="Arial" w:eastAsia="仿宋_GB2312" w:cs="Arial"/>
          <w:b/>
          <w:bCs/>
          <w:color w:val="000000" w:themeColor="text1"/>
          <w:kern w:val="0"/>
          <w:sz w:val="36"/>
          <w:highlight w:val="none"/>
          <w14:textFill>
            <w14:solidFill>
              <w14:schemeClr w14:val="tx1"/>
            </w14:solidFill>
          </w14:textFill>
        </w:rPr>
        <w:t xml:space="preserve">  </w:t>
      </w:r>
      <w:r>
        <w:rPr>
          <w:rFonts w:hint="eastAsia" w:ascii="仿宋_GB2312" w:hAnsi="Arial" w:eastAsia="仿宋_GB2312" w:cs="Arial"/>
          <w:b/>
          <w:bCs/>
          <w:color w:val="000000" w:themeColor="text1"/>
          <w:kern w:val="0"/>
          <w:sz w:val="36"/>
          <w:highlight w:val="none"/>
          <w14:textFill>
            <w14:solidFill>
              <w14:schemeClr w14:val="tx1"/>
            </w14:solidFill>
          </w14:textFill>
        </w:rPr>
        <w:t>项目基本情况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506"/>
        <w:gridCol w:w="2009"/>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041" w:type="pct"/>
            <w:vAlign w:val="center"/>
          </w:tcPr>
          <w:p>
            <w:pPr>
              <w:widowControl/>
              <w:spacing w:before="156" w:after="156" w:line="360" w:lineRule="exact"/>
              <w:jc w:val="center"/>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30"/>
                <w:highlight w:val="none"/>
                <w14:textFill>
                  <w14:solidFill>
                    <w14:schemeClr w14:val="tx1"/>
                  </w14:solidFill>
                </w14:textFill>
              </w:rPr>
              <w:t>项目名称</w:t>
            </w:r>
          </w:p>
        </w:tc>
        <w:tc>
          <w:tcPr>
            <w:tcW w:w="3959" w:type="pct"/>
            <w:gridSpan w:val="3"/>
          </w:tcPr>
          <w:p>
            <w:pPr>
              <w:widowControl/>
              <w:spacing w:before="156" w:after="156" w:line="36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10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技术领域</w:t>
            </w:r>
          </w:p>
        </w:tc>
        <w:tc>
          <w:tcPr>
            <w:tcW w:w="3959" w:type="pct"/>
            <w:gridSpan w:val="3"/>
            <w:vAlign w:val="center"/>
          </w:tcPr>
          <w:p>
            <w:pPr>
              <w:widowControl/>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24"/>
                <w:szCs w:val="24"/>
                <w:highlight w:val="none"/>
                <w14:textFill>
                  <w14:solidFill>
                    <w14:schemeClr w14:val="tx1"/>
                  </w14:solidFill>
                </w14:textFill>
              </w:rPr>
              <w:t>□电子信息</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□国防工业</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□先进制造</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□生物、医药和医疗器械</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□新材料及其应用</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□环境保护与资源综合利用</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□核应用</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□现代交通</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□城市建设与社会发展</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□其他领域技术</w:t>
            </w:r>
            <w:r>
              <w:rPr>
                <w:rFonts w:ascii="Times New Roman" w:hAnsi="Times New Roman"/>
                <w:color w:val="000000" w:themeColor="text1"/>
                <w:kern w:val="0"/>
                <w:sz w:val="24"/>
                <w:szCs w:val="24"/>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行业领域</w:t>
            </w:r>
          </w:p>
        </w:tc>
        <w:tc>
          <w:tcPr>
            <w:tcW w:w="3959" w:type="pct"/>
            <w:gridSpan w:val="3"/>
            <w:vAlign w:val="center"/>
          </w:tcPr>
          <w:p>
            <w:pPr>
              <w:widowControl/>
              <w:spacing w:before="156" w:after="156" w:line="36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24"/>
                <w:szCs w:val="24"/>
                <w:highlight w:val="none"/>
                <w14:textFill>
                  <w14:solidFill>
                    <w14:schemeClr w14:val="tx1"/>
                  </w14:solidFill>
                </w14:textFill>
              </w:rPr>
              <w:t>□采矿业</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□制造业</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□电力、燃气及水的生产和供应业</w:t>
            </w:r>
            <w:r>
              <w:rPr>
                <w:rFonts w:ascii="Times New Roman" w:hAnsi="Times New Roman"/>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14:textFill>
                  <w14:solidFill>
                    <w14:schemeClr w14:val="tx1"/>
                  </w14:solidFill>
                </w14:textFill>
              </w:rPr>
              <w:t>□信息产业</w:t>
            </w:r>
          </w:p>
          <w:p>
            <w:pPr>
              <w:widowControl/>
              <w:spacing w:before="156" w:after="156" w:line="36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24"/>
                <w:szCs w:val="24"/>
                <w:highlight w:val="none"/>
                <w14:textFill>
                  <w14:solidFill>
                    <w14:schemeClr w14:val="tx1"/>
                  </w14:solidFill>
                </w14:textFill>
              </w:rPr>
              <w:t>□其他领域</w:t>
            </w:r>
            <w:r>
              <w:rPr>
                <w:rFonts w:ascii="Times New Roman" w:hAnsi="Times New Roman"/>
                <w:color w:val="000000" w:themeColor="text1"/>
                <w:kern w:val="0"/>
                <w:sz w:val="24"/>
                <w:szCs w:val="24"/>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投产日期</w:t>
            </w:r>
          </w:p>
        </w:tc>
        <w:tc>
          <w:tcPr>
            <w:tcW w:w="1415" w:type="pct"/>
            <w:vAlign w:val="center"/>
          </w:tcPr>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tc>
        <w:tc>
          <w:tcPr>
            <w:tcW w:w="1134"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项目总投入</w:t>
            </w:r>
          </w:p>
        </w:tc>
        <w:tc>
          <w:tcPr>
            <w:tcW w:w="1411" w:type="pct"/>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30"/>
                <w:szCs w:val="30"/>
                <w:highlight w:val="none"/>
                <w14:textFill>
                  <w14:solidFill>
                    <w14:schemeClr w14:val="tx1"/>
                  </w14:solidFill>
                </w14:textFill>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5" w:hRule="atLeast"/>
          <w:jc w:val="center"/>
        </w:trPr>
        <w:tc>
          <w:tcPr>
            <w:tcW w:w="5000" w:type="pct"/>
            <w:gridSpan w:val="4"/>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24"/>
                <w:highlight w:val="none"/>
                <w14:textFill>
                  <w14:solidFill>
                    <w14:schemeClr w14:val="tx1"/>
                  </w14:solidFill>
                </w14:textFill>
              </w:rPr>
              <w:t> </w:t>
            </w:r>
          </w:p>
        </w:tc>
      </w:tr>
    </w:tbl>
    <w:p>
      <w:pPr>
        <w:widowControl/>
        <w:spacing w:before="100" w:beforeAutospacing="1" w:after="100" w:afterAutospacing="1"/>
        <w:jc w:val="left"/>
        <w:rPr>
          <w:rFonts w:ascii="Times New Roman" w:hAns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3-1 </w:t>
      </w:r>
      <w:r>
        <w:rPr>
          <w:rFonts w:ascii="Times New Roman" w:hAnsi="Times New Roman" w:eastAsia="仿宋_GB2312"/>
          <w:b/>
          <w:bCs/>
          <w:color w:val="000000" w:themeColor="text1"/>
          <w:kern w:val="0"/>
          <w:sz w:val="32"/>
          <w:szCs w:val="24"/>
          <w:highlight w:val="none"/>
          <w14:textFill>
            <w14:solidFill>
              <w14:schemeClr w14:val="tx1"/>
            </w14:solidFill>
          </w14:textFill>
        </w:rPr>
        <w:t xml:space="preserve"> </w:t>
      </w:r>
      <w:r>
        <w:rPr>
          <w:rFonts w:hint="eastAsia" w:ascii="Times New Roman" w:hAnsi="宋体" w:cs="宋体"/>
          <w:b/>
          <w:bCs/>
          <w:color w:val="000000" w:themeColor="text1"/>
          <w:kern w:val="0"/>
          <w:sz w:val="32"/>
          <w:szCs w:val="24"/>
          <w:highlight w:val="none"/>
          <w14:textFill>
            <w14:solidFill>
              <w14:schemeClr w14:val="tx1"/>
            </w14:solidFill>
          </w14:textFill>
        </w:rPr>
        <w:t>考评项目：科技水平</w:t>
      </w:r>
    </w:p>
    <w:tbl>
      <w:tblPr>
        <w:tblStyle w:val="8"/>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4980"/>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376" w:type="pct"/>
            <w:vMerge w:val="restart"/>
            <w:vAlign w:val="center"/>
          </w:tcPr>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科</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技</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水</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平</w:t>
            </w:r>
          </w:p>
        </w:tc>
        <w:tc>
          <w:tcPr>
            <w:tcW w:w="2749"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1873"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信息化、工业化深度融合及高端化、智能化、绿色化水平（简述）</w:t>
            </w:r>
          </w:p>
        </w:tc>
        <w:tc>
          <w:tcPr>
            <w:tcW w:w="1873"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自主知识产权的核心技术及</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牵头或参与制定</w:t>
            </w:r>
            <w:r>
              <w:rPr>
                <w:rFonts w:hint="eastAsia" w:ascii="Times New Roman" w:hAnsi="宋体" w:eastAsia="仿宋_GB2312" w:cs="宋体"/>
                <w:color w:val="000000" w:themeColor="text1"/>
                <w:kern w:val="0"/>
                <w:sz w:val="30"/>
                <w:szCs w:val="30"/>
                <w:highlight w:val="none"/>
                <w14:textFill>
                  <w14:solidFill>
                    <w14:schemeClr w14:val="tx1"/>
                  </w14:solidFill>
                </w14:textFill>
              </w:rPr>
              <w:t>国家、国际标准</w:t>
            </w:r>
          </w:p>
        </w:tc>
        <w:tc>
          <w:tcPr>
            <w:tcW w:w="1873"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突破关键核心技术，特别是“卡脖子”问题及填补国内外同行业领域空白</w:t>
            </w:r>
          </w:p>
        </w:tc>
        <w:tc>
          <w:tcPr>
            <w:tcW w:w="1873"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技术创新程度及国内</w:t>
            </w:r>
            <w:r>
              <w:rPr>
                <w:rFonts w:hint="eastAsia" w:ascii="Times New Roman" w:hAnsi="宋体" w:eastAsia="仿宋_GB2312" w:cs="宋体"/>
                <w:color w:val="000000" w:themeColor="text1"/>
                <w:kern w:val="0"/>
                <w:sz w:val="30"/>
                <w:szCs w:val="30"/>
                <w:highlight w:val="none"/>
                <w14:textFill>
                  <w14:solidFill>
                    <w14:schemeClr w14:val="tx1"/>
                  </w14:solidFill>
                </w14:textFill>
              </w:rPr>
              <w:t>外竞争实力</w:t>
            </w:r>
          </w:p>
        </w:tc>
        <w:tc>
          <w:tcPr>
            <w:tcW w:w="1873"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工艺技术及装备、技术经济指标的</w:t>
            </w:r>
          </w:p>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先进程度</w:t>
            </w:r>
          </w:p>
        </w:tc>
        <w:tc>
          <w:tcPr>
            <w:tcW w:w="1873"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推动转型升级提升行业整体水平</w:t>
            </w:r>
          </w:p>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程度</w:t>
            </w:r>
          </w:p>
        </w:tc>
        <w:tc>
          <w:tcPr>
            <w:tcW w:w="1873" w:type="pct"/>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ascii="宋体" w:cs="宋体"/>
                <w:dstrike/>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专利的类型及数量</w:t>
            </w:r>
          </w:p>
        </w:tc>
        <w:tc>
          <w:tcPr>
            <w:tcW w:w="1873" w:type="pct"/>
            <w:vAlign w:val="center"/>
          </w:tcPr>
          <w:p>
            <w:pPr>
              <w:widowControl/>
              <w:spacing w:line="520" w:lineRule="exact"/>
              <w:jc w:val="left"/>
              <w:rPr>
                <w:rFonts w:ascii="宋体" w:cs="宋体"/>
                <w:dstrike/>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1873" w:type="pct"/>
          </w:tcPr>
          <w:p>
            <w:pPr>
              <w:keepNext w:val="0"/>
              <w:keepLines w:val="0"/>
              <w:widowControl/>
              <w:suppressLineNumbers w:val="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FF0000"/>
                <w:kern w:val="0"/>
                <w:sz w:val="30"/>
                <w:szCs w:val="3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9" w:type="pct"/>
            <w:vAlign w:val="center"/>
          </w:tcPr>
          <w:p>
            <w:pPr>
              <w:widowControl/>
              <w:spacing w:line="520" w:lineRule="exact"/>
              <w:jc w:val="left"/>
              <w:rPr>
                <w:rFonts w:ascii="宋体" w:cs="宋体"/>
                <w:color w:val="000000" w:themeColor="text1"/>
                <w:w w:val="90"/>
                <w:kern w:val="0"/>
                <w:sz w:val="24"/>
                <w:szCs w:val="24"/>
                <w:highlight w:val="none"/>
                <w14:textFill>
                  <w14:solidFill>
                    <w14:schemeClr w14:val="tx1"/>
                  </w14:solidFill>
                </w14:textFill>
              </w:rPr>
            </w:pPr>
            <w:r>
              <w:rPr>
                <w:rFonts w:hint="eastAsia" w:ascii="Times New Roman" w:hAnsi="宋体" w:eastAsia="仿宋_GB2312" w:cs="宋体"/>
                <w:color w:val="000000" w:themeColor="text1"/>
                <w:w w:val="100"/>
                <w:kern w:val="0"/>
                <w:sz w:val="30"/>
                <w:szCs w:val="30"/>
                <w:highlight w:val="none"/>
                <w14:textFill>
                  <w14:solidFill>
                    <w14:schemeClr w14:val="tx1"/>
                  </w14:solidFill>
                </w14:textFill>
              </w:rPr>
              <w:t>项目成果转化及应用推广程度</w:t>
            </w:r>
          </w:p>
        </w:tc>
        <w:tc>
          <w:tcPr>
            <w:tcW w:w="1873"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3-2</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Times New Roman" w:hAnsi="宋体" w:cs="宋体"/>
          <w:b/>
          <w:bCs/>
          <w:color w:val="000000" w:themeColor="text1"/>
          <w:kern w:val="0"/>
          <w:sz w:val="32"/>
          <w:szCs w:val="24"/>
          <w:highlight w:val="none"/>
          <w14:textFill>
            <w14:solidFill>
              <w14:schemeClr w14:val="tx1"/>
            </w14:solidFill>
          </w14:textFill>
        </w:rPr>
        <w:t>考评项目</w:t>
      </w:r>
      <w:r>
        <w:rPr>
          <w:rFonts w:hint="eastAsia" w:ascii="宋体" w:hAnsi="宋体" w:cs="宋体"/>
          <w:b/>
          <w:bCs/>
          <w:color w:val="000000" w:themeColor="text1"/>
          <w:kern w:val="0"/>
          <w:sz w:val="32"/>
          <w:szCs w:val="24"/>
          <w:highlight w:val="none"/>
          <w14:textFill>
            <w14:solidFill>
              <w14:schemeClr w14:val="tx1"/>
            </w14:solidFill>
          </w14:textFill>
        </w:rPr>
        <w:t>：经济与社会效益</w:t>
      </w:r>
    </w:p>
    <w:tbl>
      <w:tblPr>
        <w:tblStyle w:val="8"/>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945"/>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03" w:type="pct"/>
            <w:vMerge w:val="restart"/>
            <w:vAlign w:val="center"/>
          </w:tcPr>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经</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济</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与</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社</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会</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效</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益</w:t>
            </w:r>
          </w:p>
        </w:tc>
        <w:tc>
          <w:tcPr>
            <w:tcW w:w="2712"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考评内容</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总资产贡献率（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资产负债率（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流动资产周转次数（次</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年）</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工业成本费用利润率（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销售利润率（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净资产收益率（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项目（产品）累计税金及附加</w:t>
            </w:r>
          </w:p>
        </w:tc>
        <w:tc>
          <w:tcPr>
            <w:tcW w:w="1884" w:type="pct"/>
            <w:vAlign w:val="center"/>
          </w:tcPr>
          <w:p>
            <w:pPr>
              <w:widowControl/>
              <w:spacing w:before="100" w:beforeAutospacing="1" w:after="100" w:afterAutospacing="1" w:line="440" w:lineRule="exact"/>
              <w:jc w:val="both"/>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实现利润</w:t>
            </w:r>
          </w:p>
        </w:tc>
        <w:tc>
          <w:tcPr>
            <w:tcW w:w="1884"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出</w:t>
            </w:r>
            <w:r>
              <w:rPr>
                <w:rFonts w:hint="eastAsia" w:ascii="Times New Roman" w:hAnsi="宋体" w:eastAsia="仿宋_GB2312" w:cs="宋体"/>
                <w:color w:val="000000" w:themeColor="text1"/>
                <w:kern w:val="0"/>
                <w:sz w:val="30"/>
                <w:szCs w:val="30"/>
                <w:highlight w:val="none"/>
                <w14:textFill>
                  <w14:solidFill>
                    <w14:schemeClr w14:val="tx1"/>
                  </w14:solidFill>
                </w14:textFill>
              </w:rPr>
              <w:t>口额及增长率（%）行业不涉及</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出口可不填写</w:t>
            </w:r>
          </w:p>
        </w:tc>
        <w:tc>
          <w:tcPr>
            <w:tcW w:w="1884"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产</w:t>
            </w:r>
            <w:r>
              <w:rPr>
                <w:rFonts w:hint="eastAsia" w:ascii="Times New Roman" w:hAnsi="宋体" w:eastAsia="仿宋_GB2312" w:cs="宋体"/>
                <w:color w:val="000000" w:themeColor="text1"/>
                <w:kern w:val="0"/>
                <w:sz w:val="30"/>
                <w:szCs w:val="30"/>
                <w:highlight w:val="none"/>
                <w14:textFill>
                  <w14:solidFill>
                    <w14:schemeClr w14:val="tx1"/>
                  </w14:solidFill>
                </w14:textFill>
              </w:rPr>
              <w:t>品的国内外市场占有率（%）</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行业不涉及出口可不填写</w:t>
            </w:r>
          </w:p>
        </w:tc>
        <w:tc>
          <w:tcPr>
            <w:tcW w:w="1884"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0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12"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对经济与社会效益的影响</w:t>
            </w:r>
          </w:p>
        </w:tc>
        <w:tc>
          <w:tcPr>
            <w:tcW w:w="1884"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3-3</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宋体" w:hAnsi="宋体" w:cs="宋体"/>
          <w:b/>
          <w:bCs/>
          <w:color w:val="000000" w:themeColor="text1"/>
          <w:kern w:val="0"/>
          <w:sz w:val="32"/>
          <w:szCs w:val="24"/>
          <w:highlight w:val="none"/>
          <w14:textFill>
            <w14:solidFill>
              <w14:schemeClr w14:val="tx1"/>
            </w14:solidFill>
          </w14:textFill>
        </w:rPr>
        <w:t>考评项目：质量水平</w:t>
      </w:r>
    </w:p>
    <w:tbl>
      <w:tblPr>
        <w:tblStyle w:val="8"/>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494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401" w:type="pct"/>
            <w:vMerge w:val="restart"/>
            <w:vAlign w:val="center"/>
          </w:tcPr>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质</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量</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水</w:t>
            </w:r>
          </w:p>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平</w:t>
            </w:r>
          </w:p>
        </w:tc>
        <w:tc>
          <w:tcPr>
            <w:tcW w:w="2723"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考评内容</w:t>
            </w:r>
          </w:p>
        </w:tc>
        <w:tc>
          <w:tcPr>
            <w:tcW w:w="1875"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01"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23"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省级（含）以上质检部门抽查</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产品合格率（%）＊</w:t>
            </w:r>
          </w:p>
        </w:tc>
        <w:tc>
          <w:tcPr>
            <w:tcW w:w="1875" w:type="pct"/>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01"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23"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质量保证和服务体系</w:t>
            </w:r>
          </w:p>
        </w:tc>
        <w:tc>
          <w:tcPr>
            <w:tcW w:w="1875" w:type="pct"/>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01"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23"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已获质量认证</w:t>
            </w:r>
          </w:p>
        </w:tc>
        <w:tc>
          <w:tcPr>
            <w:tcW w:w="1875" w:type="pct"/>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01"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23"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1875" w:type="pct"/>
          </w:tcPr>
          <w:p>
            <w:pPr>
              <w:keepNext w:val="0"/>
              <w:keepLines w:val="0"/>
              <w:widowControl/>
              <w:suppressLineNumbers w:val="0"/>
              <w:jc w:val="left"/>
              <w:rPr>
                <w:rFonts w:ascii="Times New Roman" w:hAnsi="Times New Roman"/>
                <w:color w:val="000000" w:themeColor="text1"/>
                <w:kern w:val="0"/>
                <w:sz w:val="30"/>
                <w:szCs w:val="30"/>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01"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23" w:type="pct"/>
            <w:vAlign w:val="center"/>
          </w:tcPr>
          <w:p>
            <w:pPr>
              <w:widowControl/>
              <w:spacing w:line="520" w:lineRule="exact"/>
              <w:jc w:val="left"/>
              <w:rPr>
                <w:rFonts w:ascii="仿宋_GB2312" w:eastAsia="仿宋_GB2312" w:cs="宋体"/>
                <w:color w:val="000000" w:themeColor="text1"/>
                <w:w w:val="90"/>
                <w:kern w:val="0"/>
                <w:sz w:val="24"/>
                <w:szCs w:val="24"/>
                <w:highlight w:val="none"/>
                <w14:textFill>
                  <w14:solidFill>
                    <w14:schemeClr w14:val="tx1"/>
                  </w14:solidFill>
                </w14:textFill>
              </w:rPr>
            </w:pPr>
            <w:r>
              <w:rPr>
                <w:rFonts w:hint="eastAsia" w:ascii="仿宋_GB2312" w:hAnsi="宋体" w:eastAsia="仿宋_GB2312" w:cs="宋体"/>
                <w:color w:val="000000" w:themeColor="text1"/>
                <w:w w:val="100"/>
                <w:kern w:val="0"/>
                <w:sz w:val="30"/>
                <w:szCs w:val="30"/>
                <w:highlight w:val="none"/>
                <w14:textFill>
                  <w14:solidFill>
                    <w14:schemeClr w14:val="tx1"/>
                  </w14:solidFill>
                </w14:textFill>
              </w:rPr>
              <w:t>采用的质量管理和标准体系</w:t>
            </w:r>
          </w:p>
        </w:tc>
        <w:tc>
          <w:tcPr>
            <w:tcW w:w="1875" w:type="pct"/>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jc w:val="center"/>
        </w:trPr>
        <w:tc>
          <w:tcPr>
            <w:tcW w:w="401"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23"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是否为制造业单项冠军、冠军</w:t>
            </w:r>
          </w:p>
          <w:p>
            <w:pPr>
              <w:widowControl/>
              <w:spacing w:line="520" w:lineRule="exact"/>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产品（具体批次）</w:t>
            </w:r>
          </w:p>
        </w:tc>
        <w:tc>
          <w:tcPr>
            <w:tcW w:w="1875" w:type="pct"/>
          </w:tcPr>
          <w:p>
            <w:pPr>
              <w:widowControl/>
              <w:spacing w:before="100" w:beforeAutospacing="1" w:after="100" w:afterAutospacing="1" w:line="600" w:lineRule="exact"/>
              <w:jc w:val="left"/>
              <w:rPr>
                <w:rFonts w:ascii="Times New Roman" w:hAnsi="Times New Roman"/>
                <w:color w:val="000000" w:themeColor="text1"/>
                <w:kern w:val="0"/>
                <w:sz w:val="30"/>
                <w:szCs w:val="30"/>
                <w:highlight w:val="none"/>
                <w14:textFill>
                  <w14:solidFill>
                    <w14:schemeClr w14:val="tx1"/>
                  </w14:solidFill>
                </w14:textFill>
              </w:rPr>
            </w:pPr>
          </w:p>
        </w:tc>
      </w:tr>
    </w:tbl>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28"/>
          <w:szCs w:val="28"/>
          <w:highlight w:val="none"/>
          <w14:textFill>
            <w14:solidFill>
              <w14:schemeClr w14:val="tx1"/>
            </w14:solidFill>
          </w14:textFill>
        </w:rPr>
        <w:t>注：带有＊项需提供相应单位证明材料。</w:t>
      </w:r>
    </w:p>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3-4</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宋体" w:hAnsi="宋体" w:cs="宋体"/>
          <w:b/>
          <w:bCs/>
          <w:color w:val="000000" w:themeColor="text1"/>
          <w:kern w:val="0"/>
          <w:sz w:val="32"/>
          <w:szCs w:val="24"/>
          <w:highlight w:val="none"/>
          <w14:textFill>
            <w14:solidFill>
              <w14:schemeClr w14:val="tx1"/>
            </w14:solidFill>
          </w14:textFill>
        </w:rPr>
        <w:t>考评项目：安全性能</w:t>
      </w:r>
    </w:p>
    <w:tbl>
      <w:tblPr>
        <w:tblStyle w:val="8"/>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964"/>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373" w:type="pct"/>
            <w:vMerge w:val="restart"/>
            <w:vAlign w:val="center"/>
          </w:tcPr>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安</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全</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性</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能</w:t>
            </w:r>
          </w:p>
        </w:tc>
        <w:tc>
          <w:tcPr>
            <w:tcW w:w="2748"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考评内容</w:t>
            </w:r>
          </w:p>
        </w:tc>
        <w:tc>
          <w:tcPr>
            <w:tcW w:w="1878"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安全生产投入及占总资产的比率（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涉及安全的技术改造投入及</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占总资产的比率（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安全生产管理体系建设</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主要安全业绩指标水平</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应急管理体系建设</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通过认证及时间</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已获荣誉及奖项</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atLeast"/>
          <w:jc w:val="center"/>
        </w:trPr>
        <w:tc>
          <w:tcPr>
            <w:tcW w:w="373"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48" w:type="pct"/>
            <w:vAlign w:val="center"/>
          </w:tcPr>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近两年是否发生较大及以上</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生产安全责任事故</w:t>
            </w:r>
          </w:p>
        </w:tc>
        <w:tc>
          <w:tcPr>
            <w:tcW w:w="1878" w:type="pct"/>
          </w:tcPr>
          <w:p>
            <w:pPr>
              <w:widowControl/>
              <w:spacing w:line="700" w:lineRule="exact"/>
              <w:ind w:left="2160"/>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bl>
    <w:p>
      <w:pPr>
        <w:widowControl/>
        <w:snapToGrid w:val="0"/>
        <w:spacing w:before="156" w:after="156"/>
        <w:jc w:val="left"/>
        <w:rPr>
          <w:rFonts w:ascii="宋体" w:cs="宋体"/>
          <w:b/>
          <w:bCs/>
          <w:color w:val="000000" w:themeColor="text1"/>
          <w:kern w:val="0"/>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3-5</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Times New Roman" w:hAnsi="宋体" w:cs="宋体"/>
          <w:b/>
          <w:bCs/>
          <w:color w:val="000000" w:themeColor="text1"/>
          <w:kern w:val="0"/>
          <w:sz w:val="32"/>
          <w:szCs w:val="24"/>
          <w:highlight w:val="none"/>
          <w14:textFill>
            <w14:solidFill>
              <w14:schemeClr w14:val="tx1"/>
            </w14:solidFill>
          </w14:textFill>
        </w:rPr>
        <w:t>考评项目</w:t>
      </w:r>
      <w:r>
        <w:rPr>
          <w:rFonts w:hint="eastAsia" w:ascii="宋体" w:hAnsi="宋体" w:cs="宋体"/>
          <w:b/>
          <w:bCs/>
          <w:color w:val="000000" w:themeColor="text1"/>
          <w:kern w:val="0"/>
          <w:sz w:val="32"/>
          <w:szCs w:val="24"/>
          <w:highlight w:val="none"/>
          <w14:textFill>
            <w14:solidFill>
              <w14:schemeClr w14:val="tx1"/>
            </w14:solidFill>
          </w14:textFill>
        </w:rPr>
        <w:t>：资源环境</w:t>
      </w:r>
    </w:p>
    <w:tbl>
      <w:tblPr>
        <w:tblStyle w:val="8"/>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4982"/>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347" w:type="pct"/>
            <w:vMerge w:val="restart"/>
            <w:vAlign w:val="center"/>
          </w:tcPr>
          <w:p>
            <w:pPr>
              <w:widowControl/>
              <w:spacing w:before="100" w:beforeAutospacing="1" w:after="100" w:afterAutospacing="1"/>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资</w:t>
            </w:r>
          </w:p>
          <w:p>
            <w:pPr>
              <w:widowControl/>
              <w:spacing w:before="100" w:beforeAutospacing="1" w:after="100" w:afterAutospacing="1"/>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源</w:t>
            </w:r>
          </w:p>
          <w:p>
            <w:pPr>
              <w:widowControl/>
              <w:spacing w:before="100" w:beforeAutospacing="1" w:after="100" w:afterAutospacing="1"/>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环</w:t>
            </w:r>
          </w:p>
          <w:p>
            <w:pPr>
              <w:widowControl/>
              <w:spacing w:before="100" w:beforeAutospacing="1" w:after="100" w:afterAutospacing="1"/>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境</w:t>
            </w:r>
          </w:p>
        </w:tc>
        <w:tc>
          <w:tcPr>
            <w:tcW w:w="2770"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考评内容</w:t>
            </w:r>
          </w:p>
        </w:tc>
        <w:tc>
          <w:tcPr>
            <w:tcW w:w="1882" w:type="pc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模范遵守环境保护法律法规</w:t>
            </w:r>
          </w:p>
        </w:tc>
        <w:tc>
          <w:tcPr>
            <w:tcW w:w="1882"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Arial" w:hAnsi="Arial" w:eastAsia="仿宋_GB2312" w:cs="Arial"/>
                <w:color w:val="000000" w:themeColor="text1"/>
                <w:kern w:val="0"/>
                <w:sz w:val="18"/>
                <w:szCs w:val="18"/>
                <w:highlight w:val="none"/>
                <w:lang w:val="en-US" w:eastAsia="zh-CN"/>
                <w14:textFill>
                  <w14:solidFill>
                    <w14:schemeClr w14:val="tx1"/>
                  </w14:solidFill>
                </w14:textFill>
              </w:rPr>
            </w:pPr>
            <w:r>
              <w:rPr>
                <w:rFonts w:hint="eastAsia" w:ascii="Times New Roman" w:hAnsi="宋体" w:eastAsia="仿宋_GB2312" w:cs="宋体"/>
                <w:color w:val="000000" w:themeColor="text1"/>
                <w:w w:val="100"/>
                <w:kern w:val="0"/>
                <w:sz w:val="30"/>
                <w:szCs w:val="30"/>
                <w:highlight w:val="none"/>
                <w14:textFill>
                  <w14:solidFill>
                    <w14:schemeClr w14:val="tx1"/>
                  </w14:solidFill>
                </w14:textFill>
              </w:rPr>
              <w:t>各类污染物稳定达标排放且满足总量控制要求</w:t>
            </w:r>
            <w:r>
              <w:rPr>
                <w:rFonts w:hint="eastAsia" w:ascii="Times New Roman" w:hAnsi="宋体" w:eastAsia="仿宋_GB2312" w:cs="宋体"/>
                <w:color w:val="000000" w:themeColor="text1"/>
                <w:w w:val="100"/>
                <w:kern w:val="0"/>
                <w:sz w:val="30"/>
                <w:szCs w:val="30"/>
                <w:highlight w:val="none"/>
                <w:lang w:eastAsia="zh-CN"/>
                <w14:textFill>
                  <w14:solidFill>
                    <w14:schemeClr w14:val="tx1"/>
                  </w14:solidFill>
                </w14:textFill>
              </w:rPr>
              <w:t>，</w:t>
            </w:r>
            <w:r>
              <w:rPr>
                <w:rFonts w:hint="eastAsia" w:ascii="Times New Roman" w:hAnsi="宋体" w:eastAsia="仿宋_GB2312" w:cs="宋体"/>
                <w:color w:val="000000" w:themeColor="text1"/>
                <w:w w:val="100"/>
                <w:kern w:val="0"/>
                <w:sz w:val="30"/>
                <w:szCs w:val="30"/>
                <w:highlight w:val="none"/>
                <w14:textFill>
                  <w14:solidFill>
                    <w14:schemeClr w14:val="tx1"/>
                  </w14:solidFill>
                </w14:textFill>
              </w:rPr>
              <w:t>尤其涉及：重点管控新污染物清单（2023年版）中有毒有害化学物质，需单独陈述。</w:t>
            </w:r>
          </w:p>
        </w:tc>
        <w:tc>
          <w:tcPr>
            <w:tcW w:w="1882"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能耗水平达国际先进或国内领先</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_GB2312" w:hAnsi="Times New Roman" w:eastAsia="仿宋_GB2312"/>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水平</w:t>
            </w:r>
          </w:p>
        </w:tc>
        <w:tc>
          <w:tcPr>
            <w:tcW w:w="1882" w:type="pct"/>
            <w:vAlign w:val="center"/>
          </w:tcPr>
          <w:p>
            <w:pPr>
              <w:widowControl/>
              <w:spacing w:line="600" w:lineRule="exact"/>
              <w:jc w:val="left"/>
              <w:rPr>
                <w:rFonts w:ascii="仿宋_GB2312" w:hAnsi="宋体" w:eastAsia="仿宋_GB2312" w:cs="宋体"/>
                <w:color w:val="000000" w:themeColor="text1"/>
                <w:kern w:val="0"/>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仿宋_GB2312" w:hAnsi="Times New Roman" w:eastAsia="仿宋_GB2312"/>
                <w:color w:val="000000" w:themeColor="text1"/>
                <w:kern w:val="0"/>
                <w:sz w:val="30"/>
                <w:szCs w:val="30"/>
                <w:highlight w:val="none"/>
                <w14:textFill>
                  <w14:solidFill>
                    <w14:schemeClr w14:val="tx1"/>
                  </w14:solidFill>
                </w14:textFill>
              </w:rPr>
              <w:t>排污指标达到国内同行业领先、国际先进水平</w:t>
            </w:r>
          </w:p>
        </w:tc>
        <w:tc>
          <w:tcPr>
            <w:tcW w:w="1882"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_GB2312" w:hAnsi="Times New Roman" w:eastAsia="仿宋_GB2312"/>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w w:val="100"/>
                <w:kern w:val="0"/>
                <w:sz w:val="30"/>
                <w:szCs w:val="30"/>
                <w:highlight w:val="none"/>
                <w14:textFill>
                  <w14:solidFill>
                    <w14:schemeClr w14:val="tx1"/>
                  </w14:solidFill>
                </w14:textFill>
              </w:rPr>
              <w:t>污染物防治措施及技术（着重阐述项目实施过程中是否能够兼顾温室气体排放，技术工艺的进步是否对节能减排起到了积极的成效</w:t>
            </w:r>
            <w:r>
              <w:rPr>
                <w:rFonts w:hint="eastAsia" w:ascii="Times New Roman" w:hAnsi="宋体" w:eastAsia="仿宋_GB2312" w:cs="宋体"/>
                <w:color w:val="auto"/>
                <w:w w:val="100"/>
                <w:kern w:val="0"/>
                <w:sz w:val="30"/>
                <w:szCs w:val="30"/>
                <w:highlight w:val="none"/>
              </w:rPr>
              <w:t>，并说明在节能减排</w:t>
            </w:r>
            <w:r>
              <w:rPr>
                <w:rFonts w:hint="eastAsia" w:ascii="Times New Roman" w:hAnsi="宋体" w:eastAsia="仿宋_GB2312" w:cs="宋体"/>
                <w:color w:val="auto"/>
                <w:w w:val="100"/>
                <w:kern w:val="0"/>
                <w:sz w:val="30"/>
                <w:szCs w:val="30"/>
                <w:highlight w:val="none"/>
                <w:lang w:eastAsia="zh-CN"/>
              </w:rPr>
              <w:t>、</w:t>
            </w:r>
            <w:r>
              <w:rPr>
                <w:rFonts w:hint="eastAsia" w:ascii="Times New Roman" w:hAnsi="宋体" w:eastAsia="仿宋_GB2312" w:cs="宋体"/>
                <w:color w:val="auto"/>
                <w:w w:val="100"/>
                <w:kern w:val="0"/>
                <w:sz w:val="30"/>
                <w:szCs w:val="30"/>
                <w:highlight w:val="none"/>
                <w:lang w:val="en-US" w:eastAsia="zh-CN"/>
              </w:rPr>
              <w:t>低碳发展</w:t>
            </w:r>
            <w:r>
              <w:rPr>
                <w:rFonts w:hint="eastAsia" w:ascii="Times New Roman" w:hAnsi="宋体" w:eastAsia="仿宋_GB2312" w:cs="宋体"/>
                <w:color w:val="auto"/>
                <w:w w:val="100"/>
                <w:kern w:val="0"/>
                <w:sz w:val="30"/>
                <w:szCs w:val="30"/>
                <w:highlight w:val="none"/>
              </w:rPr>
              <w:t>方面实施的具体方法，根据相关</w:t>
            </w:r>
            <w:r>
              <w:rPr>
                <w:rFonts w:hint="eastAsia" w:ascii="Times New Roman" w:hAnsi="宋体" w:eastAsia="仿宋_GB2312" w:cs="宋体"/>
                <w:color w:val="000000" w:themeColor="text1"/>
                <w:w w:val="100"/>
                <w:kern w:val="0"/>
                <w:sz w:val="30"/>
                <w:szCs w:val="30"/>
                <w:highlight w:val="none"/>
                <w14:textFill>
                  <w14:solidFill>
                    <w14:schemeClr w14:val="tx1"/>
                  </w14:solidFill>
                </w14:textFill>
              </w:rPr>
              <w:t>标准和规范估算上述措施对碳排放的作用）</w:t>
            </w:r>
          </w:p>
        </w:tc>
        <w:tc>
          <w:tcPr>
            <w:tcW w:w="1882" w:type="pct"/>
            <w:vAlign w:val="center"/>
          </w:tcPr>
          <w:p>
            <w:pPr>
              <w:widowControl/>
              <w:spacing w:line="600" w:lineRule="exact"/>
              <w:jc w:val="left"/>
              <w:rPr>
                <w:rFonts w:ascii="仿宋_GB2312" w:hAnsi="宋体" w:eastAsia="仿宋_GB2312" w:cs="宋体"/>
                <w:color w:val="000000" w:themeColor="text1"/>
                <w:kern w:val="0"/>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是否荣获环保部门环境保护友好</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企业称号</w:t>
            </w:r>
          </w:p>
        </w:tc>
        <w:tc>
          <w:tcPr>
            <w:tcW w:w="1882"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环境污染防治投入</w:t>
            </w:r>
          </w:p>
        </w:tc>
        <w:tc>
          <w:tcPr>
            <w:tcW w:w="1882"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环境污染预防预案</w:t>
            </w:r>
          </w:p>
        </w:tc>
        <w:tc>
          <w:tcPr>
            <w:tcW w:w="1882"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1882" w:type="pct"/>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4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770" w:type="pc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近两年内是否受到环保部门行政</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处罚</w:t>
            </w:r>
          </w:p>
        </w:tc>
        <w:tc>
          <w:tcPr>
            <w:tcW w:w="1882" w:type="pct"/>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仿宋_GB2312" w:hAnsi="宋体" w:eastAsia="仿宋_GB2312" w:cs="宋体"/>
                <w:color w:val="000000" w:themeColor="text1"/>
                <w:kern w:val="0"/>
                <w:sz w:val="30"/>
                <w:szCs w:val="30"/>
                <w:highlight w:val="none"/>
                <w14:textFill>
                  <w14:solidFill>
                    <w14:schemeClr w14:val="tx1"/>
                  </w14:solidFill>
                </w14:textFill>
              </w:rPr>
              <w:t> </w:t>
            </w:r>
          </w:p>
        </w:tc>
      </w:tr>
    </w:tbl>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4</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宋体" w:hAnsi="宋体" w:cs="宋体"/>
          <w:b/>
          <w:bCs/>
          <w:color w:val="000000" w:themeColor="text1"/>
          <w:kern w:val="0"/>
          <w:sz w:val="32"/>
          <w:szCs w:val="24"/>
          <w:highlight w:val="none"/>
          <w14:textFill>
            <w14:solidFill>
              <w14:schemeClr w14:val="tx1"/>
            </w14:solidFill>
          </w14:textFill>
        </w:rPr>
        <w:t>项目综合报告</w:t>
      </w:r>
      <w:r>
        <w:rPr>
          <w:rFonts w:hint="eastAsia" w:ascii="宋体" w:hAnsi="宋体" w:cs="宋体"/>
          <w:color w:val="000000" w:themeColor="text1"/>
          <w:kern w:val="0"/>
          <w:sz w:val="32"/>
          <w:szCs w:val="24"/>
          <w:highlight w:val="none"/>
          <w14:textFill>
            <w14:solidFill>
              <w14:schemeClr w14:val="tx1"/>
            </w14:solidFill>
          </w14:textFill>
        </w:rPr>
        <w:t>（文字另附）</w:t>
      </w:r>
    </w:p>
    <w:tbl>
      <w:tblPr>
        <w:tblStyle w:val="8"/>
        <w:tblW w:w="5074" w:type="pct"/>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0"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b/>
                <w:color w:val="000000" w:themeColor="text1"/>
                <w:kern w:val="0"/>
                <w:sz w:val="30"/>
                <w:szCs w:val="30"/>
                <w:highlight w:val="none"/>
                <w14:textFill>
                  <w14:solidFill>
                    <w14:schemeClr w14:val="tx1"/>
                  </w14:solidFill>
                </w14:textFill>
              </w:rPr>
              <w:t>报告内容：</w:t>
            </w:r>
            <w:r>
              <w:rPr>
                <w:rFonts w:hint="eastAsia" w:ascii="仿宋_GB2312" w:hAnsi="宋体" w:eastAsia="仿宋_GB2312" w:cs="宋体"/>
                <w:color w:val="000000" w:themeColor="text1"/>
                <w:kern w:val="0"/>
                <w:sz w:val="30"/>
                <w:szCs w:val="30"/>
                <w:highlight w:val="none"/>
                <w14:textFill>
                  <w14:solidFill>
                    <w14:schemeClr w14:val="tx1"/>
                  </w14:solidFill>
                </w14:textFill>
              </w:rPr>
              <w:t>（限</w:t>
            </w:r>
            <w:r>
              <w:rPr>
                <w:rFonts w:ascii="Times New Roman" w:hAnsi="Times New Roman" w:eastAsia="仿宋_GB2312"/>
                <w:color w:val="000000" w:themeColor="text1"/>
                <w:kern w:val="0"/>
                <w:sz w:val="30"/>
                <w:szCs w:val="30"/>
                <w:highlight w:val="none"/>
                <w14:textFill>
                  <w14:solidFill>
                    <w14:schemeClr w14:val="tx1"/>
                  </w14:solidFill>
                </w14:textFill>
              </w:rPr>
              <w:t>1</w:t>
            </w:r>
            <w:r>
              <w:rPr>
                <w:rFonts w:hint="eastAsia" w:ascii="Times New Roman" w:hAnsi="宋体" w:eastAsia="仿宋_GB2312" w:cs="宋体"/>
                <w:color w:val="000000" w:themeColor="text1"/>
                <w:kern w:val="0"/>
                <w:sz w:val="30"/>
                <w:szCs w:val="30"/>
                <w:highlight w:val="none"/>
                <w14:textFill>
                  <w14:solidFill>
                    <w14:schemeClr w14:val="tx1"/>
                  </w14:solidFill>
                </w14:textFill>
              </w:rPr>
              <w:t>万</w:t>
            </w:r>
            <w:r>
              <w:rPr>
                <w:rFonts w:hint="eastAsia" w:ascii="仿宋_GB2312" w:hAnsi="宋体" w:eastAsia="仿宋_GB2312" w:cs="宋体"/>
                <w:color w:val="000000" w:themeColor="text1"/>
                <w:kern w:val="0"/>
                <w:sz w:val="30"/>
                <w:szCs w:val="30"/>
                <w:highlight w:val="none"/>
                <w14:textFill>
                  <w14:solidFill>
                    <w14:schemeClr w14:val="tx1"/>
                  </w14:solidFill>
                </w14:textFill>
              </w:rPr>
              <w:t>字以内）</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一、项目承担单位概况。</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二、项目承担单位组织结构图。</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三、</w:t>
            </w:r>
            <w:r>
              <w:rPr>
                <w:rFonts w:hint="eastAsia" w:ascii="Times New Roman" w:hAnsi="宋体" w:eastAsia="仿宋_GB2312" w:cs="宋体"/>
                <w:color w:val="000000" w:themeColor="text1"/>
                <w:kern w:val="0"/>
                <w:sz w:val="30"/>
                <w:szCs w:val="30"/>
                <w:highlight w:val="none"/>
                <w14:textFill>
                  <w14:solidFill>
                    <w14:schemeClr w14:val="tx1"/>
                  </w14:solidFill>
                </w14:textFill>
              </w:rPr>
              <w:t>简述项目</w:t>
            </w:r>
            <w:r>
              <w:rPr>
                <w:rFonts w:hint="eastAsia" w:ascii="仿宋_GB2312" w:hAnsi="宋体" w:eastAsia="仿宋_GB2312" w:cs="宋体"/>
                <w:color w:val="000000" w:themeColor="text1"/>
                <w:kern w:val="0"/>
                <w:sz w:val="30"/>
                <w:szCs w:val="30"/>
                <w:highlight w:val="none"/>
                <w14:textFill>
                  <w14:solidFill>
                    <w14:schemeClr w14:val="tx1"/>
                  </w14:solidFill>
                </w14:textFill>
              </w:rPr>
              <w:t>在填补国内空白方面的情况和项目产品国内外市场占有率情况。</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四、技术创新突出，在关键领域取得重大突破，拥有关键核心技术和自主知识产权，在解决“卡脖子”和瓶颈问题等方面取得突破和创新成果。</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五、显著提升行业整体水平，对增强综合国力、促进国民经济和社会发展做出重大贡献，对行业发展具有引领、示范和带动作用。</w:t>
            </w:r>
          </w:p>
          <w:p>
            <w:pPr>
              <w:keepNext w:val="0"/>
              <w:keepLines w:val="0"/>
              <w:pageBreakBefore w:val="0"/>
              <w:widowControl/>
              <w:kinsoku/>
              <w:wordWrap/>
              <w:overflowPunct/>
              <w:topLinePunct w:val="0"/>
              <w:autoSpaceDE/>
              <w:autoSpaceDN/>
              <w:bidi w:val="0"/>
              <w:adjustRightInd w:val="0"/>
              <w:snapToGrid w:val="0"/>
              <w:spacing w:line="440" w:lineRule="exact"/>
              <w:ind w:firstLine="600" w:firstLineChars="200"/>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六、</w:t>
            </w:r>
            <w:r>
              <w:rPr>
                <w:rFonts w:hint="eastAsia" w:ascii="Times New Roman" w:hAnsi="宋体" w:eastAsia="仿宋_GB2312" w:cs="宋体"/>
                <w:color w:val="000000" w:themeColor="text1"/>
                <w:kern w:val="0"/>
                <w:sz w:val="30"/>
                <w:szCs w:val="30"/>
                <w:highlight w:val="none"/>
                <w14:textFill>
                  <w14:solidFill>
                    <w14:schemeClr w14:val="tx1"/>
                  </w14:solidFill>
                </w14:textFill>
              </w:rPr>
              <w:t>加强网络化、数字化建设，</w:t>
            </w:r>
            <w:r>
              <w:rPr>
                <w:rFonts w:hint="eastAsia" w:ascii="仿宋_GB2312" w:hAnsi="仿宋" w:eastAsia="仿宋_GB2312"/>
                <w:color w:val="000000" w:themeColor="text1"/>
                <w:sz w:val="30"/>
                <w:szCs w:val="30"/>
                <w:highlight w:val="none"/>
                <w14:textFill>
                  <w14:solidFill>
                    <w14:schemeClr w14:val="tx1"/>
                  </w14:solidFill>
                </w14:textFill>
              </w:rPr>
              <w:t>贯彻实施信息化、工业化深度融合</w:t>
            </w:r>
            <w:r>
              <w:rPr>
                <w:rFonts w:hint="eastAsia" w:ascii="Times New Roman" w:hAnsi="宋体" w:eastAsia="仿宋_GB2312" w:cs="宋体"/>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项目实施过程中数字化转型升级及</w:t>
            </w:r>
            <w:r>
              <w:rPr>
                <w:rFonts w:hint="eastAsia" w:ascii="Times New Roman" w:hAnsi="宋体" w:eastAsia="仿宋_GB2312" w:cs="宋体"/>
                <w:color w:val="000000" w:themeColor="text1"/>
                <w:kern w:val="0"/>
                <w:sz w:val="30"/>
                <w:szCs w:val="30"/>
                <w:highlight w:val="none"/>
                <w14:textFill>
                  <w14:solidFill>
                    <w14:schemeClr w14:val="tx1"/>
                  </w14:solidFill>
                </w14:textFill>
              </w:rPr>
              <w:t>互联网、物联网、大数据应用情况。</w:t>
            </w:r>
          </w:p>
          <w:p>
            <w:pPr>
              <w:keepNext w:val="0"/>
              <w:keepLines w:val="0"/>
              <w:pageBreakBefore w:val="0"/>
              <w:widowControl/>
              <w:kinsoku/>
              <w:wordWrap/>
              <w:overflowPunct/>
              <w:topLinePunct w:val="0"/>
              <w:autoSpaceDE/>
              <w:autoSpaceDN/>
              <w:bidi w:val="0"/>
              <w:adjustRightInd w:val="0"/>
              <w:snapToGrid w:val="0"/>
              <w:spacing w:line="440" w:lineRule="exact"/>
              <w:ind w:firstLine="600" w:firstLineChars="200"/>
              <w:jc w:val="left"/>
              <w:textAlignment w:val="auto"/>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七、</w:t>
            </w:r>
            <w:r>
              <w:rPr>
                <w:rFonts w:hint="eastAsia" w:ascii="Times New Roman" w:hAnsi="宋体" w:eastAsia="仿宋_GB2312" w:cs="宋体"/>
                <w:color w:val="000000" w:themeColor="text1"/>
                <w:kern w:val="0"/>
                <w:sz w:val="30"/>
                <w:szCs w:val="30"/>
                <w:highlight w:val="none"/>
                <w14:textFill>
                  <w14:solidFill>
                    <w14:schemeClr w14:val="tx1"/>
                  </w14:solidFill>
                </w14:textFill>
              </w:rPr>
              <w:t>质量、效益、安全等指标达国际领先水平，节能减排、</w:t>
            </w:r>
            <w:r>
              <w:rPr>
                <w:rFonts w:hint="eastAsia" w:ascii="仿宋_GB2312" w:hAnsi="仿宋" w:eastAsia="仿宋_GB2312"/>
                <w:color w:val="000000" w:themeColor="text1"/>
                <w:sz w:val="30"/>
                <w:szCs w:val="30"/>
                <w:highlight w:val="none"/>
                <w14:textFill>
                  <w14:solidFill>
                    <w14:schemeClr w14:val="tx1"/>
                  </w14:solidFill>
                </w14:textFill>
              </w:rPr>
              <w:t>绿色生产、生态文明建设和实现可持续发展等方面的突出表现。</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八、项目实施过程中关于</w:t>
            </w:r>
            <w:r>
              <w:rPr>
                <w:rFonts w:hint="eastAsia" w:ascii="Times New Roman" w:hAnsi="宋体" w:eastAsia="仿宋_GB2312" w:cs="宋体"/>
                <w:color w:val="000000" w:themeColor="text1"/>
                <w:kern w:val="0"/>
                <w:sz w:val="30"/>
                <w:szCs w:val="30"/>
                <w:highlight w:val="none"/>
                <w14:textFill>
                  <w14:solidFill>
                    <w14:schemeClr w14:val="tx1"/>
                  </w14:solidFill>
                </w14:textFill>
              </w:rPr>
              <w:t>减排降碳建立的规章制度、行动方案及实施情况，以及取得的实际成效。</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九、</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在</w:t>
            </w:r>
            <w:r>
              <w:rPr>
                <w:rFonts w:hint="eastAsia" w:ascii="Times New Roman" w:hAnsi="宋体" w:eastAsia="仿宋_GB2312" w:cs="宋体"/>
                <w:color w:val="000000" w:themeColor="text1"/>
                <w:kern w:val="0"/>
                <w:sz w:val="30"/>
                <w:szCs w:val="30"/>
                <w:highlight w:val="none"/>
                <w14:textFill>
                  <w14:solidFill>
                    <w14:schemeClr w14:val="tx1"/>
                  </w14:solidFill>
                </w14:textFill>
              </w:rPr>
              <w:t>国际合作</w:t>
            </w:r>
            <w:r>
              <w:rPr>
                <w:rFonts w:hint="eastAsia" w:ascii="Times New Roman" w:hAnsi="宋体" w:eastAsia="仿宋_GB2312" w:cs="宋体"/>
                <w:color w:val="000000" w:themeColor="text1"/>
                <w:kern w:val="0"/>
                <w:sz w:val="30"/>
                <w:szCs w:val="30"/>
                <w:highlight w:val="none"/>
                <w:lang w:eastAsia="zh-CN"/>
                <w14:textFill>
                  <w14:solidFill>
                    <w14:schemeClr w14:val="tx1"/>
                  </w14:solidFill>
                </w14:textFill>
              </w:rPr>
              <w:t>，</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特别是</w:t>
            </w:r>
            <w:r>
              <w:rPr>
                <w:rFonts w:hint="eastAsia" w:ascii="Times New Roman" w:hAnsi="宋体" w:eastAsia="仿宋_GB2312" w:cs="宋体"/>
                <w:color w:val="000000" w:themeColor="text1"/>
                <w:kern w:val="0"/>
                <w:sz w:val="30"/>
                <w:szCs w:val="30"/>
                <w:highlight w:val="none"/>
                <w14:textFill>
                  <w14:solidFill>
                    <w14:schemeClr w14:val="tx1"/>
                  </w14:solidFill>
                </w14:textFill>
              </w:rPr>
              <w:t>“一带一路”等过程中的先进做法和成功经验。</w:t>
            </w:r>
          </w:p>
          <w:p>
            <w:pPr>
              <w:keepNext w:val="0"/>
              <w:keepLines w:val="0"/>
              <w:pageBreakBefore w:val="0"/>
              <w:widowControl/>
              <w:kinsoku/>
              <w:wordWrap/>
              <w:overflowPunct/>
              <w:topLinePunct w:val="0"/>
              <w:autoSpaceDE/>
              <w:autoSpaceDN/>
              <w:bidi w:val="0"/>
              <w:spacing w:line="440" w:lineRule="exact"/>
              <w:ind w:firstLine="600" w:firstLineChars="200"/>
              <w:jc w:val="left"/>
              <w:textAlignment w:val="auto"/>
              <w:rPr>
                <w:rFonts w:hint="eastAsia" w:ascii="Times New Roman" w:hAnsi="宋体" w:eastAsia="仿宋_GB2312" w:cs="宋体"/>
                <w:color w:val="000000" w:themeColor="text1"/>
                <w:kern w:val="0"/>
                <w:sz w:val="30"/>
                <w:szCs w:val="30"/>
                <w:highlight w:val="none"/>
                <w14:textFill>
                  <w14:solidFill>
                    <w14:schemeClr w14:val="tx1"/>
                  </w14:solidFill>
                </w14:textFill>
              </w:rPr>
            </w:pPr>
          </w:p>
          <w:p>
            <w:pPr>
              <w:widowControl/>
              <w:spacing w:before="156" w:after="156"/>
              <w:ind w:firstLine="602" w:firstLineChars="200"/>
              <w:jc w:val="left"/>
              <w:rPr>
                <w:rFonts w:hint="eastAsia" w:ascii="仿宋" w:hAnsi="仿宋" w:eastAsia="仿宋" w:cs="仿宋"/>
                <w:b/>
                <w:bCs/>
                <w:color w:val="000000" w:themeColor="text1"/>
                <w:kern w:val="0"/>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14:textFill>
                  <w14:solidFill>
                    <w14:schemeClr w14:val="tx1"/>
                  </w14:solidFill>
                </w14:textFill>
              </w:rPr>
              <w:t>报告内容需涵盖但不仅限以上内容，结构可自行调整</w:t>
            </w:r>
          </w:p>
          <w:p>
            <w:pPr>
              <w:widowControl/>
              <w:spacing w:before="156" w:after="156"/>
              <w:ind w:firstLine="602" w:firstLineChars="200"/>
              <w:jc w:val="left"/>
              <w:rPr>
                <w:rFonts w:hint="eastAsia" w:ascii="仿宋" w:hAnsi="仿宋" w:eastAsia="仿宋" w:cs="仿宋"/>
                <w:b/>
                <w:bCs/>
                <w:color w:val="000000" w:themeColor="text1"/>
                <w:kern w:val="0"/>
                <w:sz w:val="30"/>
                <w:szCs w:val="30"/>
                <w:highlight w:val="none"/>
                <w14:textFill>
                  <w14:solidFill>
                    <w14:schemeClr w14:val="tx1"/>
                  </w14:solidFill>
                </w14:textFill>
              </w:rPr>
            </w:pPr>
          </w:p>
          <w:p>
            <w:pPr>
              <w:widowControl/>
              <w:spacing w:before="156" w:after="156"/>
              <w:ind w:firstLine="600" w:firstLineChars="200"/>
              <w:jc w:val="left"/>
              <w:rPr>
                <w:rFonts w:ascii="Times New Roman" w:hAnsi="Times New Roman" w:cs="宋体"/>
                <w:color w:val="000000" w:themeColor="text1"/>
                <w:kern w:val="0"/>
                <w:sz w:val="30"/>
                <w:szCs w:val="30"/>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项目负责人：</w:t>
            </w:r>
            <w:r>
              <w:rPr>
                <w:rFonts w:hint="eastAsia" w:ascii="Times New Roman" w:hAnsi="Times New Roman" w:cs="宋体"/>
                <w:color w:val="000000" w:themeColor="text1"/>
                <w:kern w:val="0"/>
                <w:sz w:val="30"/>
                <w:szCs w:val="30"/>
                <w:highlight w:val="none"/>
                <w14:textFill>
                  <w14:solidFill>
                    <w14:schemeClr w14:val="tx1"/>
                  </w14:solidFill>
                </w14:textFill>
              </w:rPr>
              <w:t>（签章）</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宋体" w:eastAsia="黑体" w:cs="宋体"/>
                <w:color w:val="000000" w:themeColor="text1"/>
                <w:kern w:val="0"/>
                <w:sz w:val="30"/>
                <w:szCs w:val="30"/>
                <w:highlight w:val="none"/>
                <w14:textFill>
                  <w14:solidFill>
                    <w14:schemeClr w14:val="tx1"/>
                  </w14:solidFill>
                </w14:textFill>
              </w:rPr>
              <w:t>项目承担单位：</w:t>
            </w:r>
            <w:r>
              <w:rPr>
                <w:rFonts w:hint="eastAsia" w:ascii="Times New Roman" w:hAnsi="Times New Roman" w:cs="宋体"/>
                <w:color w:val="000000" w:themeColor="text1"/>
                <w:kern w:val="0"/>
                <w:sz w:val="30"/>
                <w:szCs w:val="30"/>
                <w:highlight w:val="none"/>
                <w14:textFill>
                  <w14:solidFill>
                    <w14:schemeClr w14:val="tx1"/>
                  </w14:solidFill>
                </w14:textFill>
              </w:rPr>
              <w:t>（盖章）</w:t>
            </w:r>
          </w:p>
          <w:p>
            <w:pPr>
              <w:widowControl/>
              <w:spacing w:before="156" w:after="156"/>
              <w:ind w:firstLine="1500" w:firstLineChars="5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tabs>
          <w:tab w:val="right" w:pos="8617"/>
        </w:tabs>
        <w:snapToGrid w:val="0"/>
        <w:spacing w:before="156" w:after="156"/>
        <w:jc w:val="left"/>
        <w:rPr>
          <w:rFonts w:ascii="宋体" w:cs="宋体"/>
          <w:color w:val="000000" w:themeColor="text1"/>
          <w:w w:val="90"/>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5-1</w:t>
      </w:r>
      <w:r>
        <w:rPr>
          <w:rFonts w:hint="eastAsia" w:ascii="Times New Roman" w:hAnsi="Times New Roman" w:cs="宋体"/>
          <w:b/>
          <w:color w:val="000000" w:themeColor="text1"/>
          <w:w w:val="90"/>
          <w:kern w:val="0"/>
          <w:sz w:val="36"/>
          <w:szCs w:val="24"/>
          <w:highlight w:val="none"/>
          <w14:textFill>
            <w14:solidFill>
              <w14:schemeClr w14:val="tx1"/>
            </w14:solidFill>
          </w14:textFill>
        </w:rPr>
        <w:t>省（区、市）工业经济联合会（协会）资格审查意见</w:t>
      </w:r>
    </w:p>
    <w:tbl>
      <w:tblPr>
        <w:tblStyle w:val="8"/>
        <w:tblW w:w="5087" w:type="pct"/>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600"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Cs/>
                <w:color w:val="000000" w:themeColor="text1"/>
                <w:kern w:val="0"/>
                <w:sz w:val="30"/>
                <w:szCs w:val="30"/>
                <w:highlight w:val="none"/>
                <w14:textFill>
                  <w14:solidFill>
                    <w14:schemeClr w14:val="tx1"/>
                  </w14:solidFill>
                </w14:textFill>
              </w:rPr>
              <w:t> </w:t>
            </w:r>
          </w:p>
          <w:p>
            <w:pPr>
              <w:widowControl/>
              <w:spacing w:before="156" w:after="156"/>
              <w:ind w:firstLine="600"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Cs/>
                <w:color w:val="000000" w:themeColor="text1"/>
                <w:kern w:val="0"/>
                <w:sz w:val="30"/>
                <w:szCs w:val="30"/>
                <w:highlight w:val="none"/>
                <w14:textFill>
                  <w14:solidFill>
                    <w14:schemeClr w14:val="tx1"/>
                  </w14:solidFill>
                </w14:textFill>
              </w:rPr>
              <w:t> </w:t>
            </w: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（签章）</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宋体" w:eastAsia="黑体" w:cs="宋体"/>
                <w:color w:val="000000" w:themeColor="text1"/>
                <w:kern w:val="0"/>
                <w:sz w:val="30"/>
                <w:szCs w:val="30"/>
                <w:highlight w:val="none"/>
                <w14:textFill>
                  <w14:solidFill>
                    <w14:schemeClr w14:val="tx1"/>
                  </w14:solidFill>
                </w14:textFill>
              </w:rPr>
              <w:t>单位：</w:t>
            </w:r>
            <w:r>
              <w:rPr>
                <w:rFonts w:hint="eastAsia" w:ascii="Times New Roman" w:hAnsi="Times New Roman" w:cs="宋体"/>
                <w:color w:val="000000" w:themeColor="text1"/>
                <w:kern w:val="0"/>
                <w:sz w:val="30"/>
                <w:szCs w:val="30"/>
                <w:highlight w:val="none"/>
                <w14:textFill>
                  <w14:solidFill>
                    <w14:schemeClr w14:val="tx1"/>
                  </w14:solidFill>
                </w14:textFill>
              </w:rPr>
              <w:t>（盖章）</w:t>
            </w:r>
          </w:p>
          <w:p>
            <w:pPr>
              <w:widowControl/>
              <w:spacing w:before="156" w:after="156"/>
              <w:ind w:firstLine="1200" w:firstLineChars="4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tabs>
          <w:tab w:val="right" w:pos="8617"/>
        </w:tabs>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5-2</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Times New Roman" w:hAnsi="Times New Roman" w:cs="宋体"/>
          <w:b/>
          <w:color w:val="000000" w:themeColor="text1"/>
          <w:kern w:val="0"/>
          <w:sz w:val="36"/>
          <w:szCs w:val="36"/>
          <w:highlight w:val="none"/>
          <w14:textFill>
            <w14:solidFill>
              <w14:schemeClr w14:val="tx1"/>
            </w14:solidFill>
          </w14:textFill>
        </w:rPr>
        <w:t>全国性工业行业联合会（协会）资格审查意见</w:t>
      </w:r>
    </w:p>
    <w:tbl>
      <w:tblPr>
        <w:tblStyle w:val="8"/>
        <w:tblW w:w="5094" w:type="pct"/>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37"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（签章）</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宋体" w:eastAsia="黑体" w:cs="宋体"/>
                <w:color w:val="000000" w:themeColor="text1"/>
                <w:kern w:val="0"/>
                <w:sz w:val="30"/>
                <w:szCs w:val="30"/>
                <w:highlight w:val="none"/>
                <w14:textFill>
                  <w14:solidFill>
                    <w14:schemeClr w14:val="tx1"/>
                  </w14:solidFill>
                </w14:textFill>
              </w:rPr>
              <w:t>单位：</w:t>
            </w:r>
            <w:r>
              <w:rPr>
                <w:rFonts w:hint="eastAsia" w:ascii="Times New Roman" w:hAnsi="Times New Roman" w:cs="宋体"/>
                <w:color w:val="000000" w:themeColor="text1"/>
                <w:kern w:val="0"/>
                <w:sz w:val="30"/>
                <w:szCs w:val="30"/>
                <w:highlight w:val="none"/>
                <w14:textFill>
                  <w14:solidFill>
                    <w14:schemeClr w14:val="tx1"/>
                  </w14:solidFill>
                </w14:textFill>
              </w:rPr>
              <w:t>（盖章）</w:t>
            </w:r>
          </w:p>
          <w:p>
            <w:pPr>
              <w:widowControl/>
              <w:spacing w:before="156" w:after="156"/>
              <w:ind w:firstLine="1200" w:firstLineChars="4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p>
            <w:pPr>
              <w:widowControl/>
              <w:spacing w:before="156" w:after="156"/>
              <w:ind w:firstLine="4485" w:firstLineChars="1495"/>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tabs>
          <w:tab w:val="right" w:pos="8617"/>
        </w:tabs>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6</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Times New Roman" w:hAnsi="Times New Roman" w:cs="宋体"/>
          <w:b/>
          <w:color w:val="000000" w:themeColor="text1"/>
          <w:kern w:val="0"/>
          <w:sz w:val="36"/>
          <w:szCs w:val="36"/>
          <w:highlight w:val="none"/>
          <w14:textFill>
            <w14:solidFill>
              <w14:schemeClr w14:val="tx1"/>
            </w14:solidFill>
          </w14:textFill>
        </w:rPr>
        <w:t>行业评审意见</w:t>
      </w:r>
    </w:p>
    <w:tbl>
      <w:tblPr>
        <w:tblStyle w:val="8"/>
        <w:tblW w:w="5087" w:type="pc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评审组长：</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485" w:firstLineChars="1495"/>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7</w:t>
      </w:r>
      <w:r>
        <w:rPr>
          <w:rFonts w:ascii="宋体" w:hAnsi="宋体" w:cs="宋体"/>
          <w:b/>
          <w:bCs/>
          <w:color w:val="000000" w:themeColor="text1"/>
          <w:kern w:val="0"/>
          <w:sz w:val="32"/>
          <w:szCs w:val="24"/>
          <w:highlight w:val="none"/>
          <w14:textFill>
            <w14:solidFill>
              <w14:schemeClr w14:val="tx1"/>
            </w14:solidFill>
          </w14:textFill>
        </w:rPr>
        <w:t xml:space="preserve">                  </w:t>
      </w:r>
      <w:r>
        <w:rPr>
          <w:rFonts w:hint="eastAsia" w:ascii="Times New Roman" w:hAnsi="Times New Roman" w:cs="宋体"/>
          <w:b/>
          <w:color w:val="000000" w:themeColor="text1"/>
          <w:kern w:val="0"/>
          <w:sz w:val="36"/>
          <w:szCs w:val="36"/>
          <w:highlight w:val="none"/>
          <w14:textFill>
            <w14:solidFill>
              <w14:schemeClr w14:val="tx1"/>
            </w14:solidFill>
          </w14:textFill>
        </w:rPr>
        <w:t>综合评审意见</w:t>
      </w:r>
    </w:p>
    <w:tbl>
      <w:tblPr>
        <w:tblStyle w:val="8"/>
        <w:tblW w:w="5087" w:type="pct"/>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65" w:firstLineChars="1255"/>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485" w:firstLineChars="1495"/>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8</w:t>
      </w:r>
      <w:r>
        <w:rPr>
          <w:rFonts w:ascii="宋体" w:hAnsi="宋体" w:cs="宋体"/>
          <w:b/>
          <w:bCs/>
          <w:color w:val="000000" w:themeColor="text1"/>
          <w:kern w:val="0"/>
          <w:sz w:val="32"/>
          <w:szCs w:val="24"/>
          <w:highlight w:val="none"/>
          <w14:textFill>
            <w14:solidFill>
              <w14:schemeClr w14:val="tx1"/>
            </w14:solidFill>
          </w14:textFill>
        </w:rPr>
        <w:t xml:space="preserve">   </w:t>
      </w:r>
      <w:r>
        <w:rPr>
          <w:rFonts w:ascii="Times New Roman" w:hAnsi="Times New Roman"/>
          <w:b/>
          <w:color w:val="000000" w:themeColor="text1"/>
          <w:kern w:val="0"/>
          <w:sz w:val="36"/>
          <w:szCs w:val="36"/>
          <w:highlight w:val="none"/>
          <w14:textFill>
            <w14:solidFill>
              <w14:schemeClr w14:val="tx1"/>
            </w14:solidFill>
          </w14:textFill>
        </w:rPr>
        <w:t xml:space="preserve">            </w:t>
      </w:r>
      <w:r>
        <w:rPr>
          <w:rFonts w:hint="eastAsia" w:ascii="Times New Roman" w:hAnsi="Times New Roman" w:cs="宋体"/>
          <w:b/>
          <w:color w:val="000000" w:themeColor="text1"/>
          <w:kern w:val="0"/>
          <w:sz w:val="36"/>
          <w:szCs w:val="36"/>
          <w:highlight w:val="none"/>
          <w14:textFill>
            <w14:solidFill>
              <w14:schemeClr w14:val="tx1"/>
            </w14:solidFill>
          </w14:textFill>
        </w:rPr>
        <w:t>工作委员会意见</w:t>
      </w:r>
    </w:p>
    <w:tbl>
      <w:tblPr>
        <w:tblStyle w:val="8"/>
        <w:tblW w:w="5094" w:type="pc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6"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494"/>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宋体"/>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9</w:t>
      </w:r>
      <w:r>
        <w:rPr>
          <w:rFonts w:ascii="宋体" w:hAnsi="宋体" w:cs="宋体"/>
          <w:b/>
          <w:bCs/>
          <w:color w:val="000000" w:themeColor="text1"/>
          <w:kern w:val="0"/>
          <w:sz w:val="32"/>
          <w:szCs w:val="24"/>
          <w:highlight w:val="none"/>
          <w14:textFill>
            <w14:solidFill>
              <w14:schemeClr w14:val="tx1"/>
            </w14:solidFill>
          </w14:textFill>
        </w:rPr>
        <w:t xml:space="preserve">   </w:t>
      </w:r>
      <w:r>
        <w:rPr>
          <w:rFonts w:ascii="Times New Roman" w:hAnsi="Times New Roman"/>
          <w:b/>
          <w:color w:val="000000" w:themeColor="text1"/>
          <w:kern w:val="0"/>
          <w:sz w:val="36"/>
          <w:szCs w:val="36"/>
          <w:highlight w:val="none"/>
          <w14:textFill>
            <w14:solidFill>
              <w14:schemeClr w14:val="tx1"/>
            </w14:solidFill>
          </w14:textFill>
        </w:rPr>
        <w:t xml:space="preserve">            </w:t>
      </w:r>
      <w:r>
        <w:rPr>
          <w:rFonts w:hint="eastAsia" w:ascii="Times New Roman" w:hAnsi="Times New Roman" w:cs="宋体"/>
          <w:b/>
          <w:color w:val="000000" w:themeColor="text1"/>
          <w:kern w:val="0"/>
          <w:sz w:val="36"/>
          <w:szCs w:val="36"/>
          <w:highlight w:val="none"/>
          <w14:textFill>
            <w14:solidFill>
              <w14:schemeClr w14:val="tx1"/>
            </w14:solidFill>
          </w14:textFill>
        </w:rPr>
        <w:t>审定委员会意见</w:t>
      </w:r>
    </w:p>
    <w:tbl>
      <w:tblPr>
        <w:tblStyle w:val="8"/>
        <w:tblW w:w="5110" w:type="pc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521" w:firstLineChars="1507"/>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黑体" w:hAnsi="宋体" w:eastAsia="黑体"/>
          <w:b/>
          <w:color w:val="000000" w:themeColor="text1"/>
          <w:sz w:val="32"/>
          <w:szCs w:val="32"/>
          <w:highlight w:val="none"/>
          <w14:textFill>
            <w14:solidFill>
              <w14:schemeClr w14:val="tx1"/>
            </w14:solidFill>
          </w14:textFill>
        </w:rPr>
        <w:sectPr>
          <w:pgSz w:w="12240" w:h="15840"/>
          <w:pgMar w:top="1440" w:right="1800" w:bottom="1440" w:left="1800" w:header="720" w:footer="720" w:gutter="0"/>
          <w:cols w:space="720" w:num="1"/>
        </w:sectPr>
      </w:pPr>
    </w:p>
    <w:p>
      <w:pPr>
        <w:widowControl/>
        <w:spacing w:before="360" w:after="360"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黑体" w:hAnsi="宋体" w:eastAsia="黑体" w:cs="宋体"/>
          <w:color w:val="000000" w:themeColor="text1"/>
          <w:kern w:val="0"/>
          <w:sz w:val="36"/>
          <w:szCs w:val="36"/>
          <w:highlight w:val="none"/>
          <w14:textFill>
            <w14:solidFill>
              <w14:schemeClr w14:val="tx1"/>
            </w14:solidFill>
          </w14:textFill>
        </w:rPr>
        <w:t>主</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要</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指</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标</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解</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释</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技术创新程度</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指项目在技术开发中解决关键技术难题并取得技术突破，掌握核心技术并进行集成创新的程度，自主创新技术在总体技术中的比重。</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技术经济指标的先进程度</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指与国内外最先进技术相比其总体技术水平、主要技术（性能、性状、工艺参数等）、经济（投入产出比、性能价格比、成本、规模等）、环境、生态等指标所处的位置。</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提升行业整体水平程度</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指项目技术水平提高的幅度，对实现高新技术产业化，解决行业、区域发展的重点、难点和关键问题，推动产业结构调整和优化升级，提高企业和相关行业竞争能力，实现行业技术跨越和技术进步的作用。</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4.</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项目成果转化及应用推广程度</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指项目的实用性、适用性和已经推广应用的范围。</w:t>
      </w:r>
    </w:p>
    <w:p>
      <w:pPr>
        <w:widowControl/>
        <w:tabs>
          <w:tab w:val="left" w:pos="1134"/>
        </w:tabs>
        <w:spacing w:line="700" w:lineRule="exact"/>
        <w:ind w:left="-6"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5.</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经济效益和战略意义</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项目在建设过程中取得的直接效益和项目建成后对国家或区域的经济建设、社会持续发展、保障国家安全、提高国家科学技术研究能力和人民生活水平、健康水平等发挥的作用，及对国家或区域发展产生的全局性、战略性、持久性影响。</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6.</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总资产贡献率</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反映企业全部资产的获利能力，是企业经营业绩和管理水平的集中体现，是评价和考核企业盈利能力的核心指标。</w:t>
      </w:r>
    </w:p>
    <w:p>
      <w:pPr>
        <w:widowControl/>
        <w:tabs>
          <w:tab w:val="left" w:pos="1287"/>
        </w:tabs>
        <w:spacing w:line="360" w:lineRule="auto"/>
        <w:ind w:left="153" w:leftChars="73" w:firstLine="700" w:firstLineChars="25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28"/>
          <w:szCs w:val="28"/>
          <w:highlight w:val="none"/>
          <w14:textFill>
            <w14:solidFill>
              <w14:schemeClr w14:val="tx1"/>
            </w14:solidFill>
          </w14:textFill>
        </w:rPr>
        <w:t>计算公式为：</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总资产贡献率</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（利润总额</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税金总额</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利息支出）</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平均资产总额（</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w:t>
      </w:r>
    </w:p>
    <w:p>
      <w:pPr>
        <w:widowControl/>
        <w:spacing w:line="700" w:lineRule="exact"/>
        <w:ind w:left="-5" w:firstLine="56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28"/>
          <w:szCs w:val="28"/>
          <w:highlight w:val="none"/>
          <w14:textFill>
            <w14:solidFill>
              <w14:schemeClr w14:val="tx1"/>
            </w14:solidFill>
          </w14:textFill>
        </w:rPr>
        <w:t>式中：税金总额为产品销售税金及附加与应交增值税之和；平均资产总额为期初期末资产之和的算术平均值。</w:t>
      </w:r>
    </w:p>
    <w:p>
      <w:pPr>
        <w:widowControl/>
        <w:tabs>
          <w:tab w:val="left" w:pos="1134"/>
        </w:tabs>
        <w:spacing w:line="700" w:lineRule="exact"/>
        <w:ind w:left="-5" w:firstLine="567"/>
        <w:jc w:val="left"/>
        <w:rPr>
          <w:rFonts w:ascii="Times New Roman" w:hAnsi="宋体" w:eastAsia="仿宋_GB2312" w:cs="宋体"/>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7.</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资产负债率</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该指标既反映企业经营风险的大小，也反映企业利用债权人提供的资金从事经营活动的能力。计算公式为：</w:t>
      </w:r>
    </w:p>
    <w:p>
      <w:pPr>
        <w:widowControl/>
        <w:tabs>
          <w:tab w:val="left" w:pos="1134"/>
        </w:tabs>
        <w:spacing w:line="700" w:lineRule="exact"/>
        <w:ind w:left="-4" w:leftChars="-2" w:firstLine="567" w:firstLineChars="270"/>
        <w:jc w:val="left"/>
        <w:rPr>
          <w:color w:val="000000" w:themeColor="text1"/>
          <w:highlight w:val="none"/>
          <w14:textFill>
            <w14:solidFill>
              <w14:schemeClr w14:val="tx1"/>
            </w14:solidFill>
          </w14:textFill>
        </w:rPr>
      </w:pPr>
      <w:r>
        <w:rPr>
          <w:color w:val="000000" w:themeColor="text1"/>
          <w:position w:val="-26"/>
          <w:highlight w:val="none"/>
          <w14:textFill>
            <w14:solidFill>
              <w14:schemeClr w14:val="tx1"/>
            </w14:solidFill>
          </w14:textFill>
        </w:rPr>
        <w:object>
          <v:shape id="_x0000_i1025" o:spt="75" type="#_x0000_t75" style="height:33.5pt;width:260.2pt;" o:ole="t" filled="f" o:preferrelative="t" stroked="f" coordsize="21600,21600">
            <v:path/>
            <v:fill on="f" focussize="0,0"/>
            <v:stroke on="f"/>
            <v:imagedata r:id="rId7" o:title=""/>
            <o:lock v:ext="edit" aspectratio="t"/>
            <w10:wrap type="none"/>
            <w10:anchorlock/>
          </v:shape>
          <o:OLEObject Type="Embed" ProgID="Equation.DSMT4" ShapeID="_x0000_i1025" DrawAspect="Content" ObjectID="_1468075725" r:id="rId6">
            <o:LockedField>false</o:LockedField>
          </o:OLEObject>
        </w:object>
      </w:r>
    </w:p>
    <w:p>
      <w:pPr>
        <w:widowControl/>
        <w:spacing w:line="700" w:lineRule="exact"/>
        <w:ind w:left="-5" w:firstLine="56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28"/>
          <w:szCs w:val="28"/>
          <w:highlight w:val="none"/>
          <w14:textFill>
            <w14:solidFill>
              <w14:schemeClr w14:val="tx1"/>
            </w14:solidFill>
          </w14:textFill>
        </w:rPr>
        <w:t>式中：资产与负债均为报告期期末数。</w:t>
      </w:r>
    </w:p>
    <w:p>
      <w:pPr>
        <w:widowControl/>
        <w:tabs>
          <w:tab w:val="left" w:pos="1134"/>
        </w:tabs>
        <w:spacing w:line="700" w:lineRule="exact"/>
        <w:ind w:left="-5" w:firstLine="567"/>
        <w:jc w:val="left"/>
        <w:rPr>
          <w:rFonts w:ascii="Times New Roman" w:hAnsi="宋体" w:eastAsia="仿宋_GB2312" w:cs="宋体"/>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8.</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流动资产周转次数</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指一定时期内流动资产完成的周转次数，反映投入工业企业流动资金的周转速度。计算公式为：</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color w:val="000000" w:themeColor="text1"/>
          <w:position w:val="-26"/>
          <w:highlight w:val="none"/>
          <w14:textFill>
            <w14:solidFill>
              <w14:schemeClr w14:val="tx1"/>
            </w14:solidFill>
          </w14:textFill>
        </w:rPr>
        <w:object>
          <v:shape id="_x0000_i1026" o:spt="75" type="#_x0000_t75" style="height:33.5pt;width:281.6pt;" o:ole="t" filled="f" o:preferrelative="t" stroked="f" coordsize="21600,21600">
            <v:path/>
            <v:fill on="f" focussize="0,0"/>
            <v:stroke on="f"/>
            <v:imagedata r:id="rId9" o:title=""/>
            <o:lock v:ext="edit" aspectratio="t"/>
            <w10:wrap type="none"/>
            <w10:anchorlock/>
          </v:shape>
          <o:OLEObject Type="Embed" ProgID="Equation.DSMT4" ShapeID="_x0000_i1026" DrawAspect="Content" ObjectID="_1468075726" r:id="rId8">
            <o:LockedField>false</o:LockedField>
          </o:OLEObject>
        </w:object>
      </w:r>
    </w:p>
    <w:p>
      <w:pPr>
        <w:widowControl/>
        <w:spacing w:line="700" w:lineRule="exact"/>
        <w:ind w:left="-6" w:firstLine="56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28"/>
          <w:szCs w:val="28"/>
          <w:highlight w:val="none"/>
          <w14:textFill>
            <w14:solidFill>
              <w14:schemeClr w14:val="tx1"/>
            </w14:solidFill>
          </w14:textFill>
        </w:rPr>
        <w:t>式中：全部流动资产平均余额为期初和期末的流动资产之和的算术平均值。</w:t>
      </w:r>
    </w:p>
    <w:p>
      <w:pPr>
        <w:widowControl/>
        <w:tabs>
          <w:tab w:val="left" w:pos="1134"/>
        </w:tabs>
        <w:spacing w:line="700" w:lineRule="exact"/>
        <w:ind w:left="-5" w:firstLine="594"/>
        <w:jc w:val="left"/>
        <w:rPr>
          <w:rFonts w:ascii="Times New Roman" w:hAnsi="宋体" w:eastAsia="仿宋_GB2312" w:cs="宋体"/>
          <w:color w:val="000000" w:themeColor="text1"/>
          <w:spacing w:val="8"/>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9.</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bCs/>
          <w:color w:val="000000" w:themeColor="text1"/>
          <w:spacing w:val="8"/>
          <w:kern w:val="0"/>
          <w:sz w:val="28"/>
          <w:szCs w:val="28"/>
          <w:highlight w:val="none"/>
          <w14:textFill>
            <w14:solidFill>
              <w14:schemeClr w14:val="tx1"/>
            </w14:solidFill>
          </w14:textFill>
        </w:rPr>
        <w:t>工业成本费用利润率</w:t>
      </w:r>
      <w:r>
        <w:rPr>
          <w:rFonts w:ascii="Times New Roman" w:hAnsi="Times New Roman" w:eastAsia="仿宋_GB2312"/>
          <w:b/>
          <w:bCs/>
          <w:color w:val="000000" w:themeColor="text1"/>
          <w:spacing w:val="8"/>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指在一定时期内实现的利润与成本费用之比，是反映工业生产成本及费用投入的经济效益指标，同时也是反映降低成本的经济效益的指标。计算公式为：</w:t>
      </w:r>
    </w:p>
    <w:p>
      <w:pPr>
        <w:widowControl/>
        <w:tabs>
          <w:tab w:val="left" w:pos="1134"/>
        </w:tabs>
        <w:spacing w:line="700" w:lineRule="exact"/>
        <w:ind w:left="-5" w:firstLine="594"/>
        <w:jc w:val="left"/>
        <w:rPr>
          <w:rFonts w:ascii="宋体" w:cs="宋体"/>
          <w:color w:val="000000" w:themeColor="text1"/>
          <w:kern w:val="0"/>
          <w:sz w:val="24"/>
          <w:szCs w:val="24"/>
          <w:highlight w:val="none"/>
          <w14:textFill>
            <w14:solidFill>
              <w14:schemeClr w14:val="tx1"/>
            </w14:solidFill>
          </w14:textFill>
        </w:rPr>
      </w:pPr>
      <w:r>
        <w:rPr>
          <w:rFonts w:ascii="方正黑体简体" w:eastAsia="方正黑体简体"/>
          <w:color w:val="000000" w:themeColor="text1"/>
          <w:position w:val="-26"/>
          <w:sz w:val="18"/>
          <w:szCs w:val="18"/>
          <w:highlight w:val="none"/>
          <w14:textFill>
            <w14:solidFill>
              <w14:schemeClr w14:val="tx1"/>
            </w14:solidFill>
          </w14:textFill>
        </w:rPr>
        <w:object>
          <v:shape id="_x0000_i1027" o:spt="75" type="#_x0000_t75" style="height:35.65pt;width:293.7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p>
    <w:p>
      <w:pPr>
        <w:widowControl/>
        <w:tabs>
          <w:tab w:val="left" w:pos="1134"/>
        </w:tabs>
        <w:spacing w:line="700" w:lineRule="exact"/>
        <w:ind w:left="-5"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10.</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bCs/>
          <w:color w:val="000000" w:themeColor="text1"/>
          <w:spacing w:val="8"/>
          <w:kern w:val="0"/>
          <w:sz w:val="28"/>
          <w:szCs w:val="28"/>
          <w:highlight w:val="none"/>
          <w14:textFill>
            <w14:solidFill>
              <w14:schemeClr w14:val="tx1"/>
            </w14:solidFill>
          </w14:textFill>
        </w:rPr>
        <w:t>销售利润率</w:t>
      </w:r>
      <w:r>
        <w:rPr>
          <w:rFonts w:ascii="仿宋_GB2312" w:hAnsi="宋体" w:eastAsia="仿宋_GB2312" w:cs="宋体"/>
          <w:color w:val="000000" w:themeColor="text1"/>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指衡量企业</w:t>
      </w:r>
      <w:r>
        <w:rPr>
          <w:highlight w:val="none"/>
          <w:u w:val="none"/>
        </w:rPr>
        <w:fldChar w:fldCharType="begin"/>
      </w:r>
      <w:r>
        <w:rPr>
          <w:highlight w:val="none"/>
          <w:u w:val="none"/>
        </w:rPr>
        <w:instrText xml:space="preserve"> HYPERLINK "http://baike.baidu.com/view/634424.htm" \t "_blank" </w:instrText>
      </w:r>
      <w:r>
        <w:rPr>
          <w:highlight w:val="none"/>
          <w:u w:val="none"/>
        </w:rPr>
        <w:fldChar w:fldCharType="separate"/>
      </w:r>
      <w:r>
        <w:rPr>
          <w:rFonts w:hint="eastAsia" w:ascii="仿宋_GB2312" w:hAnsi="Arial" w:eastAsia="仿宋_GB2312" w:cs="Arial"/>
          <w:color w:val="000000" w:themeColor="text1"/>
          <w:spacing w:val="8"/>
          <w:kern w:val="0"/>
          <w:sz w:val="28"/>
          <w:highlight w:val="none"/>
          <w:u w:val="none"/>
          <w14:textFill>
            <w14:solidFill>
              <w14:schemeClr w14:val="tx1"/>
            </w14:solidFill>
          </w14:textFill>
        </w:rPr>
        <w:t>销售收入</w:t>
      </w:r>
      <w:r>
        <w:rPr>
          <w:rFonts w:hint="eastAsia" w:ascii="仿宋_GB2312" w:hAnsi="Arial" w:eastAsia="仿宋_GB2312" w:cs="Arial"/>
          <w:color w:val="000000" w:themeColor="text1"/>
          <w:spacing w:val="8"/>
          <w:kern w:val="0"/>
          <w:sz w:val="28"/>
          <w:highlight w:val="none"/>
          <w:u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u w:val="none"/>
          <w14:textFill>
            <w14:solidFill>
              <w14:schemeClr w14:val="tx1"/>
            </w14:solidFill>
          </w14:textFill>
        </w:rPr>
        <w:t>的收益水平的</w:t>
      </w:r>
      <w:r>
        <w:rPr>
          <w:highlight w:val="none"/>
          <w:u w:val="none"/>
        </w:rPr>
        <w:fldChar w:fldCharType="begin"/>
      </w:r>
      <w:r>
        <w:rPr>
          <w:highlight w:val="none"/>
          <w:u w:val="none"/>
        </w:rPr>
        <w:instrText xml:space="preserve"> HYPERLINK "http://baike.baidu.com/view/605645.htm" \t "_blank" </w:instrText>
      </w:r>
      <w:r>
        <w:rPr>
          <w:highlight w:val="none"/>
          <w:u w:val="none"/>
        </w:rPr>
        <w:fldChar w:fldCharType="separate"/>
      </w:r>
      <w:r>
        <w:rPr>
          <w:rFonts w:hint="eastAsia" w:ascii="仿宋_GB2312" w:hAnsi="Arial" w:eastAsia="仿宋_GB2312" w:cs="Arial"/>
          <w:color w:val="000000" w:themeColor="text1"/>
          <w:spacing w:val="8"/>
          <w:kern w:val="0"/>
          <w:sz w:val="28"/>
          <w:highlight w:val="none"/>
          <w:u w:val="none"/>
          <w14:textFill>
            <w14:solidFill>
              <w14:schemeClr w14:val="tx1"/>
            </w14:solidFill>
          </w14:textFill>
        </w:rPr>
        <w:t>指标</w:t>
      </w:r>
      <w:r>
        <w:rPr>
          <w:rFonts w:hint="eastAsia" w:ascii="仿宋_GB2312" w:hAnsi="Arial" w:eastAsia="仿宋_GB2312" w:cs="Arial"/>
          <w:color w:val="000000" w:themeColor="text1"/>
          <w:spacing w:val="8"/>
          <w:kern w:val="0"/>
          <w:sz w:val="28"/>
          <w:highlight w:val="none"/>
          <w:u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。计算公式为：</w:t>
      </w:r>
      <w:r>
        <w:rPr>
          <w:rFonts w:ascii="仿宋_GB2312" w:eastAsia="仿宋_GB2312"/>
          <w:color w:val="000000" w:themeColor="text1"/>
          <w:position w:val="-26"/>
          <w:sz w:val="28"/>
          <w:szCs w:val="28"/>
          <w:highlight w:val="none"/>
          <w14:textFill>
            <w14:solidFill>
              <w14:schemeClr w14:val="tx1"/>
            </w14:solidFill>
          </w14:textFill>
        </w:rPr>
        <w:object>
          <v:shape id="_x0000_i1028" o:spt="75" type="#_x0000_t75" style="height:33.5pt;width:211pt;" o:ole="t" fillcolor="#FF6600"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11.</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净资产收益率</w:t>
      </w:r>
      <w:r>
        <w:rPr>
          <w:rFonts w:hint="eastAsia" w:ascii="Times New Roman" w:hAnsi="宋体" w:eastAsia="仿宋_GB2312" w:cs="宋体"/>
          <w:color w:val="000000" w:themeColor="text1"/>
          <w:kern w:val="0"/>
          <w:sz w:val="28"/>
          <w:szCs w:val="28"/>
          <w:highlight w:val="none"/>
          <w14:textFill>
            <w14:solidFill>
              <w14:schemeClr w14:val="tx1"/>
            </w14:solidFill>
          </w14:textFill>
        </w:rPr>
        <w:t>（又称</w:t>
      </w:r>
      <w:r>
        <w:rPr>
          <w:highlight w:val="none"/>
        </w:rPr>
        <w:fldChar w:fldCharType="begin"/>
      </w:r>
      <w:r>
        <w:rPr>
          <w:highlight w:val="none"/>
        </w:rPr>
        <w:instrText xml:space="preserve"> HYPERLINK "http://baike.baidu.com/view/1304215.htm" \t "_blank" </w:instrText>
      </w:r>
      <w:r>
        <w:rPr>
          <w:highlight w:val="none"/>
        </w:rPr>
        <w:fldChar w:fldCharType="separate"/>
      </w:r>
      <w:r>
        <w:rPr>
          <w:rFonts w:hint="eastAsia" w:ascii="Times New Roman" w:hAnsi="宋体" w:eastAsia="仿宋_GB2312" w:cs="宋体"/>
          <w:color w:val="000000" w:themeColor="text1"/>
          <w:kern w:val="0"/>
          <w:sz w:val="28"/>
          <w:highlight w:val="none"/>
          <w14:textFill>
            <w14:solidFill>
              <w14:schemeClr w14:val="tx1"/>
            </w14:solidFill>
          </w14:textFill>
        </w:rPr>
        <w:t>股东权益收益率</w:t>
      </w:r>
      <w:r>
        <w:rPr>
          <w:rFonts w:hint="eastAsia" w:ascii="Times New Roman" w:hAnsi="宋体" w:eastAsia="仿宋_GB2312" w:cs="宋体"/>
          <w:color w:val="000000" w:themeColor="text1"/>
          <w:kern w:val="0"/>
          <w:sz w:val="28"/>
          <w:highlight w:val="none"/>
          <w14:textFill>
            <w14:solidFill>
              <w14:schemeClr w14:val="tx1"/>
            </w14:solidFill>
          </w14:textFill>
        </w:rPr>
        <w:fldChar w:fldCharType="end"/>
      </w:r>
      <w:r>
        <w:rPr>
          <w:rFonts w:hint="eastAsia" w:ascii="Times New Roman" w:hAnsi="宋体" w:eastAsia="仿宋_GB2312" w:cs="宋体"/>
          <w:color w:val="000000" w:themeColor="text1"/>
          <w:kern w:val="0"/>
          <w:sz w:val="28"/>
          <w:szCs w:val="28"/>
          <w:highlight w:val="none"/>
          <w14:textFill>
            <w14:solidFill>
              <w14:schemeClr w14:val="tx1"/>
            </w14:solidFill>
          </w14:textFill>
        </w:rPr>
        <w:t>）</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是净利润与平均股东权益的百分比，是公司税后利润除以净资产得到的百分比率。</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12.</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主营业务收入</w:t>
      </w:r>
      <w:r>
        <w:rPr>
          <w:rFonts w:ascii="Times New Roman" w:hAnsi="Times New Roman" w:eastAsia="仿宋_GB2312"/>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指会计</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利润表</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中对应指标的本年累计数。未执行</w:t>
      </w:r>
      <w:r>
        <w:rPr>
          <w:rFonts w:ascii="Times New Roman" w:hAnsi="Times New Roman" w:eastAsia="仿宋_GB2312"/>
          <w:color w:val="000000" w:themeColor="text1"/>
          <w:kern w:val="0"/>
          <w:sz w:val="28"/>
          <w:szCs w:val="28"/>
          <w:highlight w:val="none"/>
          <w14:textFill>
            <w14:solidFill>
              <w14:schemeClr w14:val="tx1"/>
            </w14:solidFill>
          </w14:textFill>
        </w:rPr>
        <w:t>2001</w:t>
      </w:r>
      <w:r>
        <w:rPr>
          <w:rFonts w:hint="eastAsia" w:ascii="Times New Roman" w:hAnsi="宋体" w:eastAsia="仿宋_GB2312" w:cs="宋体"/>
          <w:color w:val="000000" w:themeColor="text1"/>
          <w:kern w:val="0"/>
          <w:sz w:val="28"/>
          <w:szCs w:val="28"/>
          <w:highlight w:val="none"/>
          <w14:textFill>
            <w14:solidFill>
              <w14:schemeClr w14:val="tx1"/>
            </w14:solidFill>
          </w14:textFill>
        </w:rPr>
        <w:t>年《企业会计制度》的企业，用</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产品销售收入</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的本期累计数代替。</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13.</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主营业务税金及附加</w:t>
      </w:r>
      <w:r>
        <w:rPr>
          <w:rFonts w:ascii="Times New Roman" w:hAnsi="Times New Roman" w:eastAsia="仿宋_GB2312"/>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指会计</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利润表</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中对应指标的本年累计数。未执行</w:t>
      </w:r>
      <w:r>
        <w:rPr>
          <w:rFonts w:ascii="Times New Roman" w:hAnsi="Times New Roman" w:eastAsia="仿宋_GB2312"/>
          <w:color w:val="000000" w:themeColor="text1"/>
          <w:kern w:val="0"/>
          <w:sz w:val="28"/>
          <w:szCs w:val="28"/>
          <w:highlight w:val="none"/>
          <w14:textFill>
            <w14:solidFill>
              <w14:schemeClr w14:val="tx1"/>
            </w14:solidFill>
          </w14:textFill>
        </w:rPr>
        <w:t>2001</w:t>
      </w:r>
      <w:r>
        <w:rPr>
          <w:rFonts w:hint="eastAsia" w:ascii="Times New Roman" w:hAnsi="宋体" w:eastAsia="仿宋_GB2312" w:cs="宋体"/>
          <w:color w:val="000000" w:themeColor="text1"/>
          <w:kern w:val="0"/>
          <w:sz w:val="28"/>
          <w:szCs w:val="28"/>
          <w:highlight w:val="none"/>
          <w14:textFill>
            <w14:solidFill>
              <w14:schemeClr w14:val="tx1"/>
            </w14:solidFill>
          </w14:textFill>
        </w:rPr>
        <w:t>年《企业会计制度》的企业，用</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产品销售税金及附加</w:t>
      </w:r>
      <w:r>
        <w:rPr>
          <w:rFonts w:ascii="Times New Roman" w:hAnsi="Times New Roman" w:eastAsia="仿宋_GB2312"/>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的本期累计数代替。</w:t>
      </w:r>
    </w:p>
    <w:p>
      <w:pPr>
        <w:widowControl/>
        <w:tabs>
          <w:tab w:val="left" w:pos="1134"/>
        </w:tabs>
        <w:spacing w:line="700" w:lineRule="exact"/>
        <w:ind w:left="-6"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14.</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利润总额</w:t>
      </w:r>
      <w:r>
        <w:rPr>
          <w:rFonts w:ascii="Times New Roman" w:hAnsi="Times New Roman" w:eastAsia="仿宋_GB2312"/>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指企业生产经营活动的最终成果，是企业在一定时期内实现的盈亏相抵后的利润总额</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亏损以</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号表示</w:t>
      </w:r>
      <w:r>
        <w:rPr>
          <w:rFonts w:ascii="Times New Roman" w:hAnsi="Times New Roman" w:eastAsia="仿宋_GB2312"/>
          <w:color w:val="000000" w:themeColor="text1"/>
          <w:kern w:val="0"/>
          <w:sz w:val="28"/>
          <w:szCs w:val="28"/>
          <w:highlight w:val="none"/>
          <w14:textFill>
            <w14:solidFill>
              <w14:schemeClr w14:val="tx1"/>
            </w14:solidFill>
          </w14:textFill>
        </w:rPr>
        <w:t>)</w:t>
      </w:r>
      <w:r>
        <w:rPr>
          <w:rFonts w:hint="eastAsia" w:ascii="Times New Roman" w:hAnsi="宋体" w:eastAsia="仿宋_GB2312" w:cs="宋体"/>
          <w:color w:val="000000" w:themeColor="text1"/>
          <w:kern w:val="0"/>
          <w:sz w:val="28"/>
          <w:szCs w:val="28"/>
          <w:highlight w:val="none"/>
          <w14:textFill>
            <w14:solidFill>
              <w14:schemeClr w14:val="tx1"/>
            </w14:solidFill>
          </w14:textFill>
        </w:rPr>
        <w:t>，它等于营业利润加上补贴收入加上投资收益加上营业外净收入再加上以前年度损益调整。</w:t>
      </w:r>
    </w:p>
    <w:p>
      <w:pPr>
        <w:widowControl/>
        <w:tabs>
          <w:tab w:val="left" w:pos="1134"/>
        </w:tabs>
        <w:spacing w:line="700" w:lineRule="exact"/>
        <w:ind w:left="-6"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15.</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遵守环境保护法律法规</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指建设项目各阶段环境保护审批程序符合情况。</w:t>
      </w:r>
    </w:p>
    <w:p>
      <w:pPr>
        <w:widowControl/>
        <w:tabs>
          <w:tab w:val="left" w:pos="1134"/>
        </w:tabs>
        <w:spacing w:line="700" w:lineRule="exact"/>
        <w:ind w:left="-5" w:firstLine="56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16.</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环境保护情况</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着重描述项目污染物达标排放情况、总量控制指标完成情况、污染治理设施运行情况、在线监测仪器安装运行情况。</w:t>
      </w:r>
    </w:p>
    <w:p>
      <w:pPr>
        <w:widowControl/>
        <w:tabs>
          <w:tab w:val="left" w:pos="1134"/>
        </w:tabs>
        <w:spacing w:line="700" w:lineRule="exact"/>
        <w:ind w:left="-5" w:firstLine="56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17.</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生产过程环境友好</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采用清洁生产工艺，采用低毒无害环境友好原材料。</w:t>
      </w:r>
    </w:p>
    <w:p>
      <w:pPr>
        <w:widowControl/>
        <w:tabs>
          <w:tab w:val="left" w:pos="1134"/>
        </w:tabs>
        <w:spacing w:line="700" w:lineRule="exact"/>
        <w:ind w:left="-5" w:firstLine="562"/>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18.</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生产产品环境保护友好</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低污染、相关环保认证（环境标志、有机、绿色等）。</w:t>
      </w:r>
    </w:p>
    <w:p>
      <w:pPr>
        <w:widowControl/>
        <w:tabs>
          <w:tab w:val="left" w:pos="1134"/>
        </w:tabs>
        <w:spacing w:line="700" w:lineRule="exact"/>
        <w:ind w:left="-5" w:firstLine="562"/>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19.</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环境污染与破坏事故</w:t>
      </w:r>
      <w:r>
        <w:rPr>
          <w:rFonts w:ascii="Times New Roman" w:hAnsi="Times New Roman" w:eastAsia="仿宋_GB2312"/>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由于违反环境保护法规的经济、社会活动与行为，以及意外因素的影响或不可抗拒的自然灾害等原因，致使环境受到污染，国家重点保护的野生动植物、自然保护区受到破坏，人体健康受到危害，社会经济和人民财产受到损失，造成不良社会影响的突发性事件。</w:t>
      </w:r>
    </w:p>
    <w:p>
      <w:pPr>
        <w:widowControl/>
        <w:tabs>
          <w:tab w:val="left" w:pos="1134"/>
        </w:tabs>
        <w:spacing w:line="700" w:lineRule="exact"/>
        <w:ind w:left="-6"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20.</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spacing w:val="8"/>
          <w:kern w:val="0"/>
          <w:sz w:val="28"/>
          <w:szCs w:val="28"/>
          <w:highlight w:val="none"/>
          <w14:textFill>
            <w14:solidFill>
              <w14:schemeClr w14:val="tx1"/>
            </w14:solidFill>
          </w14:textFill>
        </w:rPr>
        <w:t>质量保证和服务体系</w:t>
      </w:r>
      <w:r>
        <w:rPr>
          <w:rFonts w:ascii="Times New Roman" w:hAnsi="Times New Roman" w:eastAsia="仿宋_GB2312"/>
          <w:color w:val="000000" w:themeColor="text1"/>
          <w:spacing w:val="8"/>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主要描述项目如何保证产品和服务的安全性、改善产品性能、完善服务体系、努力为社会提供优质安全健康的产品和服务、最大限度地满足消费者的需求，保护消费者权益，妥善处理消费者提出的投诉和建议，努力为消费者创造更大的价值，取得广大消费者的信赖与认同。</w:t>
      </w:r>
    </w:p>
    <w:p>
      <w:pPr>
        <w:widowControl/>
        <w:tabs>
          <w:tab w:val="left" w:pos="1134"/>
        </w:tabs>
        <w:spacing w:line="700" w:lineRule="exact"/>
        <w:ind w:left="-5"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21.</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spacing w:val="8"/>
          <w:kern w:val="0"/>
          <w:sz w:val="28"/>
          <w:szCs w:val="28"/>
          <w:highlight w:val="none"/>
          <w14:textFill>
            <w14:solidFill>
              <w14:schemeClr w14:val="tx1"/>
            </w14:solidFill>
          </w14:textFill>
        </w:rPr>
        <w:t>安全生产管理体系建设</w:t>
      </w:r>
      <w:r>
        <w:rPr>
          <w:rFonts w:ascii="Times New Roman" w:hAnsi="Times New Roman"/>
          <w:b/>
          <w:color w:val="000000" w:themeColor="text1"/>
          <w:kern w:val="0"/>
          <w:sz w:val="24"/>
          <w:szCs w:val="24"/>
          <w:highlight w:val="none"/>
          <w14:textFill>
            <w14:solidFill>
              <w14:schemeClr w14:val="tx1"/>
            </w14:solidFill>
          </w14:textFill>
        </w:rPr>
        <w:t xml:space="preserve">  </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指项目申报单位认真贯彻落实国家有关安全生产的法律法规和标准技术规范，学习借鉴国际安全管理先进理念、管理方法和管理体系，建立涵盖项目生产经营全方位的，包括经营理念、工作指导思想、标准技术文件、实施程序等一整套安全管理文件、目标计划、实施、考核、持续改进的全过程控制的安全管理科学体系。体系建设可以包括各种行之有效的安全管理理念、方法、手段和工具，指标填写应包含以下要素：先进的安全管理理念；明确的安全管理目标；健全的安全管理组织体系；完善的安全管理制度（文件）；有效的安全管理工作措施；有针对性的全员安全培训教育；严谨的安全生产绩效考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魏碑简体">
    <w:altName w:val="微软雅黑"/>
    <w:panose1 w:val="00000000000000000000"/>
    <w:charset w:val="86"/>
    <w:family w:val="script"/>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汉仪书宋一简">
    <w:altName w:val="宋体"/>
    <w:panose1 w:val="00000000000000000000"/>
    <w:charset w:val="86"/>
    <w:family w:val="roman"/>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Fonts w:ascii="Times New Roman" w:hAnsi="Times New Roman"/>
        <w:sz w:val="28"/>
        <w:szCs w:val="28"/>
      </w:rPr>
    </w:pP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10</w:t>
    </w:r>
    <w:r>
      <w:rPr>
        <w:rStyle w:val="11"/>
        <w:rFonts w:ascii="Times New Roman" w:hAnsi="Times New Roman"/>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iZmU3ZGJiZGQ5Y2MwN2FmYzIxNDM0ODRmYzdhNzcifQ=="/>
  </w:docVars>
  <w:rsids>
    <w:rsidRoot w:val="00A919F5"/>
    <w:rsid w:val="00005863"/>
    <w:rsid w:val="0001556B"/>
    <w:rsid w:val="000175EC"/>
    <w:rsid w:val="00053E65"/>
    <w:rsid w:val="000654F3"/>
    <w:rsid w:val="00065D5C"/>
    <w:rsid w:val="00081B0C"/>
    <w:rsid w:val="00084AA6"/>
    <w:rsid w:val="00091AD2"/>
    <w:rsid w:val="000B01F0"/>
    <w:rsid w:val="000C008C"/>
    <w:rsid w:val="000C094B"/>
    <w:rsid w:val="000C0A8F"/>
    <w:rsid w:val="000C3090"/>
    <w:rsid w:val="000D508B"/>
    <w:rsid w:val="000F3435"/>
    <w:rsid w:val="00123C5C"/>
    <w:rsid w:val="001242E2"/>
    <w:rsid w:val="00134B63"/>
    <w:rsid w:val="00135F05"/>
    <w:rsid w:val="00144EFA"/>
    <w:rsid w:val="00151AE1"/>
    <w:rsid w:val="0015318E"/>
    <w:rsid w:val="00163663"/>
    <w:rsid w:val="00196BA9"/>
    <w:rsid w:val="001A4654"/>
    <w:rsid w:val="001A5432"/>
    <w:rsid w:val="001C1782"/>
    <w:rsid w:val="001C3A71"/>
    <w:rsid w:val="001C6FFD"/>
    <w:rsid w:val="001D2903"/>
    <w:rsid w:val="001E76E7"/>
    <w:rsid w:val="001F6573"/>
    <w:rsid w:val="00204C6E"/>
    <w:rsid w:val="00207059"/>
    <w:rsid w:val="002128E8"/>
    <w:rsid w:val="00212EA1"/>
    <w:rsid w:val="00234897"/>
    <w:rsid w:val="00236759"/>
    <w:rsid w:val="00254DBB"/>
    <w:rsid w:val="00280FF6"/>
    <w:rsid w:val="00282267"/>
    <w:rsid w:val="00285FBC"/>
    <w:rsid w:val="00293299"/>
    <w:rsid w:val="002A19A8"/>
    <w:rsid w:val="002A2859"/>
    <w:rsid w:val="002B532B"/>
    <w:rsid w:val="002B62E8"/>
    <w:rsid w:val="002B6AF9"/>
    <w:rsid w:val="002B7631"/>
    <w:rsid w:val="002C6421"/>
    <w:rsid w:val="002C7F8C"/>
    <w:rsid w:val="002D3413"/>
    <w:rsid w:val="002D7D96"/>
    <w:rsid w:val="002E0898"/>
    <w:rsid w:val="0031000B"/>
    <w:rsid w:val="00315D35"/>
    <w:rsid w:val="00317789"/>
    <w:rsid w:val="0032012C"/>
    <w:rsid w:val="003315FF"/>
    <w:rsid w:val="00342A5E"/>
    <w:rsid w:val="00350495"/>
    <w:rsid w:val="00356A62"/>
    <w:rsid w:val="00365098"/>
    <w:rsid w:val="00380091"/>
    <w:rsid w:val="003952A4"/>
    <w:rsid w:val="003A2A45"/>
    <w:rsid w:val="003A53CD"/>
    <w:rsid w:val="003B79B2"/>
    <w:rsid w:val="003E7AB4"/>
    <w:rsid w:val="004126AD"/>
    <w:rsid w:val="00416B99"/>
    <w:rsid w:val="00424223"/>
    <w:rsid w:val="004248B9"/>
    <w:rsid w:val="00425965"/>
    <w:rsid w:val="00462EC0"/>
    <w:rsid w:val="00467E18"/>
    <w:rsid w:val="00467F9E"/>
    <w:rsid w:val="004811D1"/>
    <w:rsid w:val="004853DA"/>
    <w:rsid w:val="00495056"/>
    <w:rsid w:val="004A4E65"/>
    <w:rsid w:val="004B1B53"/>
    <w:rsid w:val="004B265A"/>
    <w:rsid w:val="004C772C"/>
    <w:rsid w:val="004D69A1"/>
    <w:rsid w:val="004F1EAF"/>
    <w:rsid w:val="00503B95"/>
    <w:rsid w:val="00517DBD"/>
    <w:rsid w:val="0052210F"/>
    <w:rsid w:val="00531B39"/>
    <w:rsid w:val="005377EC"/>
    <w:rsid w:val="005453B0"/>
    <w:rsid w:val="0056083D"/>
    <w:rsid w:val="00563441"/>
    <w:rsid w:val="00563543"/>
    <w:rsid w:val="00586FFF"/>
    <w:rsid w:val="005911DA"/>
    <w:rsid w:val="00593ED3"/>
    <w:rsid w:val="005A7CB6"/>
    <w:rsid w:val="005B4837"/>
    <w:rsid w:val="005C2117"/>
    <w:rsid w:val="005D2862"/>
    <w:rsid w:val="005D38AF"/>
    <w:rsid w:val="005E1A05"/>
    <w:rsid w:val="005E1BF6"/>
    <w:rsid w:val="005E6B5A"/>
    <w:rsid w:val="005F3C3A"/>
    <w:rsid w:val="005F6147"/>
    <w:rsid w:val="006072EF"/>
    <w:rsid w:val="00630531"/>
    <w:rsid w:val="0064031B"/>
    <w:rsid w:val="00644537"/>
    <w:rsid w:val="00652D16"/>
    <w:rsid w:val="00680428"/>
    <w:rsid w:val="006905BD"/>
    <w:rsid w:val="006A0071"/>
    <w:rsid w:val="006A3245"/>
    <w:rsid w:val="006A46C6"/>
    <w:rsid w:val="006B65BF"/>
    <w:rsid w:val="006C2BC7"/>
    <w:rsid w:val="006D04FE"/>
    <w:rsid w:val="006F5C8C"/>
    <w:rsid w:val="0070044F"/>
    <w:rsid w:val="00703068"/>
    <w:rsid w:val="00705B56"/>
    <w:rsid w:val="00713730"/>
    <w:rsid w:val="00724A1E"/>
    <w:rsid w:val="00726A4F"/>
    <w:rsid w:val="00732473"/>
    <w:rsid w:val="007377C5"/>
    <w:rsid w:val="00741F31"/>
    <w:rsid w:val="00742228"/>
    <w:rsid w:val="007512CA"/>
    <w:rsid w:val="007618E1"/>
    <w:rsid w:val="0076644E"/>
    <w:rsid w:val="0078691D"/>
    <w:rsid w:val="00787B22"/>
    <w:rsid w:val="00787DDB"/>
    <w:rsid w:val="007A6982"/>
    <w:rsid w:val="007B07F0"/>
    <w:rsid w:val="008072AD"/>
    <w:rsid w:val="00810FED"/>
    <w:rsid w:val="00811665"/>
    <w:rsid w:val="00811E98"/>
    <w:rsid w:val="008123CF"/>
    <w:rsid w:val="00815D57"/>
    <w:rsid w:val="00827657"/>
    <w:rsid w:val="00832859"/>
    <w:rsid w:val="0083677E"/>
    <w:rsid w:val="00850A39"/>
    <w:rsid w:val="00855694"/>
    <w:rsid w:val="00856F81"/>
    <w:rsid w:val="00866D1F"/>
    <w:rsid w:val="00875B31"/>
    <w:rsid w:val="008937FF"/>
    <w:rsid w:val="008C318B"/>
    <w:rsid w:val="008C703A"/>
    <w:rsid w:val="008C7598"/>
    <w:rsid w:val="00940493"/>
    <w:rsid w:val="0095242A"/>
    <w:rsid w:val="00954115"/>
    <w:rsid w:val="0095453E"/>
    <w:rsid w:val="00976C9E"/>
    <w:rsid w:val="00981F14"/>
    <w:rsid w:val="009A1FAF"/>
    <w:rsid w:val="009B1315"/>
    <w:rsid w:val="009D03B8"/>
    <w:rsid w:val="009D1F4A"/>
    <w:rsid w:val="009D2D51"/>
    <w:rsid w:val="00A01991"/>
    <w:rsid w:val="00A12D60"/>
    <w:rsid w:val="00A13888"/>
    <w:rsid w:val="00A13C12"/>
    <w:rsid w:val="00A41A0C"/>
    <w:rsid w:val="00A47166"/>
    <w:rsid w:val="00A47EAE"/>
    <w:rsid w:val="00A52095"/>
    <w:rsid w:val="00A55FA1"/>
    <w:rsid w:val="00A62AD2"/>
    <w:rsid w:val="00A6353F"/>
    <w:rsid w:val="00A919F5"/>
    <w:rsid w:val="00A92C8C"/>
    <w:rsid w:val="00A92CB4"/>
    <w:rsid w:val="00AA0950"/>
    <w:rsid w:val="00AC07CC"/>
    <w:rsid w:val="00AC7DF6"/>
    <w:rsid w:val="00AD26A2"/>
    <w:rsid w:val="00AE190C"/>
    <w:rsid w:val="00AF4331"/>
    <w:rsid w:val="00B106C7"/>
    <w:rsid w:val="00B15F27"/>
    <w:rsid w:val="00B16157"/>
    <w:rsid w:val="00B32447"/>
    <w:rsid w:val="00B405D2"/>
    <w:rsid w:val="00B5607B"/>
    <w:rsid w:val="00B56E61"/>
    <w:rsid w:val="00B63522"/>
    <w:rsid w:val="00BB1AF9"/>
    <w:rsid w:val="00BB7534"/>
    <w:rsid w:val="00BD75A4"/>
    <w:rsid w:val="00BE3224"/>
    <w:rsid w:val="00BF0ECE"/>
    <w:rsid w:val="00BF48BC"/>
    <w:rsid w:val="00BF556D"/>
    <w:rsid w:val="00C014C5"/>
    <w:rsid w:val="00C01AAD"/>
    <w:rsid w:val="00C12294"/>
    <w:rsid w:val="00C303EC"/>
    <w:rsid w:val="00C372EC"/>
    <w:rsid w:val="00C54384"/>
    <w:rsid w:val="00C5767F"/>
    <w:rsid w:val="00C80B72"/>
    <w:rsid w:val="00C80FC7"/>
    <w:rsid w:val="00C82580"/>
    <w:rsid w:val="00C842E4"/>
    <w:rsid w:val="00C9556F"/>
    <w:rsid w:val="00CA5CB6"/>
    <w:rsid w:val="00CA7E1B"/>
    <w:rsid w:val="00CC1831"/>
    <w:rsid w:val="00CD7BF8"/>
    <w:rsid w:val="00CE0BF1"/>
    <w:rsid w:val="00CF278C"/>
    <w:rsid w:val="00D05073"/>
    <w:rsid w:val="00D0730B"/>
    <w:rsid w:val="00D11F39"/>
    <w:rsid w:val="00D173B3"/>
    <w:rsid w:val="00D236FF"/>
    <w:rsid w:val="00D530D9"/>
    <w:rsid w:val="00D654B6"/>
    <w:rsid w:val="00D663C4"/>
    <w:rsid w:val="00D759EB"/>
    <w:rsid w:val="00D828AD"/>
    <w:rsid w:val="00DB4320"/>
    <w:rsid w:val="00DE0421"/>
    <w:rsid w:val="00DE08DD"/>
    <w:rsid w:val="00DE100E"/>
    <w:rsid w:val="00DE1763"/>
    <w:rsid w:val="00DF2DE0"/>
    <w:rsid w:val="00DF4A66"/>
    <w:rsid w:val="00E11086"/>
    <w:rsid w:val="00E1771F"/>
    <w:rsid w:val="00E1787D"/>
    <w:rsid w:val="00E3010E"/>
    <w:rsid w:val="00E41BAF"/>
    <w:rsid w:val="00E4381C"/>
    <w:rsid w:val="00E54584"/>
    <w:rsid w:val="00E60CEB"/>
    <w:rsid w:val="00E6516B"/>
    <w:rsid w:val="00E82DA5"/>
    <w:rsid w:val="00E84B8B"/>
    <w:rsid w:val="00E94B92"/>
    <w:rsid w:val="00E96FBD"/>
    <w:rsid w:val="00E97CDB"/>
    <w:rsid w:val="00EA1F35"/>
    <w:rsid w:val="00EA66CF"/>
    <w:rsid w:val="00ED7754"/>
    <w:rsid w:val="00EF4750"/>
    <w:rsid w:val="00EF57F8"/>
    <w:rsid w:val="00F028E3"/>
    <w:rsid w:val="00F102D2"/>
    <w:rsid w:val="00F103BF"/>
    <w:rsid w:val="00F330B1"/>
    <w:rsid w:val="00F7503C"/>
    <w:rsid w:val="00F96C19"/>
    <w:rsid w:val="00FA5BF2"/>
    <w:rsid w:val="00FA6C85"/>
    <w:rsid w:val="00FA7DB7"/>
    <w:rsid w:val="00FB2077"/>
    <w:rsid w:val="00FC1431"/>
    <w:rsid w:val="00FD1EAB"/>
    <w:rsid w:val="00FF1DEB"/>
    <w:rsid w:val="00FF3708"/>
    <w:rsid w:val="00FF77FA"/>
    <w:rsid w:val="013C1985"/>
    <w:rsid w:val="03004131"/>
    <w:rsid w:val="07B127A6"/>
    <w:rsid w:val="07DE489E"/>
    <w:rsid w:val="108E0525"/>
    <w:rsid w:val="18A93BB4"/>
    <w:rsid w:val="1C752FA8"/>
    <w:rsid w:val="1D2078AC"/>
    <w:rsid w:val="1D613800"/>
    <w:rsid w:val="26FB41A7"/>
    <w:rsid w:val="276B102C"/>
    <w:rsid w:val="341835DF"/>
    <w:rsid w:val="366A072A"/>
    <w:rsid w:val="39EB3E8D"/>
    <w:rsid w:val="3C0B59A6"/>
    <w:rsid w:val="3C9348AF"/>
    <w:rsid w:val="3D2D4661"/>
    <w:rsid w:val="3FCB3913"/>
    <w:rsid w:val="484E6433"/>
    <w:rsid w:val="4A5D7E22"/>
    <w:rsid w:val="50447047"/>
    <w:rsid w:val="50704476"/>
    <w:rsid w:val="545E5CBF"/>
    <w:rsid w:val="55952C82"/>
    <w:rsid w:val="57941E4B"/>
    <w:rsid w:val="57FA2E2D"/>
    <w:rsid w:val="5BBC44DB"/>
    <w:rsid w:val="5E416093"/>
    <w:rsid w:val="5FBC278B"/>
    <w:rsid w:val="61964319"/>
    <w:rsid w:val="61B15AEE"/>
    <w:rsid w:val="62AF1794"/>
    <w:rsid w:val="63A37143"/>
    <w:rsid w:val="64004E4C"/>
    <w:rsid w:val="643D3833"/>
    <w:rsid w:val="6741635A"/>
    <w:rsid w:val="6AD40899"/>
    <w:rsid w:val="7086365E"/>
    <w:rsid w:val="73612777"/>
    <w:rsid w:val="74E31BF2"/>
    <w:rsid w:val="75FD6363"/>
    <w:rsid w:val="77DE3A62"/>
    <w:rsid w:val="79D93954"/>
    <w:rsid w:val="7C562D4A"/>
    <w:rsid w:val="7EAE0814"/>
    <w:rsid w:val="7F437511"/>
    <w:rsid w:val="7F8769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pPr>
      <w:widowControl/>
      <w:spacing w:before="100" w:beforeAutospacing="1" w:after="100" w:afterAutospacing="1"/>
      <w:jc w:val="left"/>
    </w:pPr>
    <w:rPr>
      <w:rFonts w:ascii="宋体" w:hAnsi="宋体" w:cs="宋体"/>
      <w:kern w:val="0"/>
      <w:sz w:val="24"/>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cs="Times New Roman"/>
      <w:b/>
      <w:bCs/>
    </w:rPr>
  </w:style>
  <w:style w:type="character" w:styleId="11">
    <w:name w:val="page number"/>
    <w:basedOn w:val="9"/>
    <w:qFormat/>
    <w:uiPriority w:val="99"/>
    <w:rPr>
      <w:rFonts w:cs="Times New Roman"/>
    </w:rPr>
  </w:style>
  <w:style w:type="character" w:styleId="12">
    <w:name w:val="Hyperlink"/>
    <w:basedOn w:val="9"/>
    <w:semiHidden/>
    <w:qFormat/>
    <w:uiPriority w:val="99"/>
    <w:rPr>
      <w:rFonts w:cs="Times New Roman"/>
      <w:color w:val="0000FF"/>
      <w:u w:val="single"/>
    </w:rPr>
  </w:style>
  <w:style w:type="character" w:customStyle="1" w:styleId="13">
    <w:name w:val="页眉 字符"/>
    <w:basedOn w:val="9"/>
    <w:link w:val="5"/>
    <w:semiHidden/>
    <w:qFormat/>
    <w:locked/>
    <w:uiPriority w:val="99"/>
    <w:rPr>
      <w:rFonts w:cs="Times New Roman"/>
      <w:sz w:val="18"/>
      <w:szCs w:val="18"/>
    </w:rPr>
  </w:style>
  <w:style w:type="character" w:customStyle="1" w:styleId="14">
    <w:name w:val="页脚 字符"/>
    <w:basedOn w:val="9"/>
    <w:link w:val="4"/>
    <w:semiHidden/>
    <w:qFormat/>
    <w:locked/>
    <w:uiPriority w:val="99"/>
    <w:rPr>
      <w:rFonts w:cs="Times New Roman"/>
      <w:sz w:val="18"/>
      <w:szCs w:val="18"/>
    </w:rPr>
  </w:style>
  <w:style w:type="character" w:customStyle="1" w:styleId="15">
    <w:name w:val="纯文本 字符"/>
    <w:basedOn w:val="9"/>
    <w:link w:val="2"/>
    <w:qFormat/>
    <w:locked/>
    <w:uiPriority w:val="99"/>
    <w:rPr>
      <w:rFonts w:ascii="宋体" w:hAnsi="宋体" w:eastAsia="宋体" w:cs="宋体"/>
      <w:kern w:val="0"/>
      <w:sz w:val="24"/>
      <w:szCs w:val="24"/>
    </w:rPr>
  </w:style>
  <w:style w:type="character" w:customStyle="1" w:styleId="16">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fulong</Company>
  <Pages>21</Pages>
  <Words>4151</Words>
  <Characters>4224</Characters>
  <Lines>41</Lines>
  <Paragraphs>11</Paragraphs>
  <TotalTime>0</TotalTime>
  <ScaleCrop>false</ScaleCrop>
  <LinksUpToDate>false</LinksUpToDate>
  <CharactersWithSpaces>5021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2023-04-06T03:08:00Z</dcterms:created>
  <dc:creator>大奖</dc:creator>
  <cp:lastModifiedBy>JFFFJ</cp:lastModifiedBy>
  <cp:lastPrinted>2021-07-22T06:37:00Z</cp:lastPrinted>
  <dcterms:modified xsi:type="dcterms:W3CDTF">2023-04-24T02:40:51Z</dcterms:modified>
  <dc:title>附件五</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C185E60B83A8437A8F45258CE66729C2_13</vt:lpwstr>
  </property>
</Properties>
</file>